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5B2A" w14:textId="77777777" w:rsidR="005A255C" w:rsidRPr="00B832E0" w:rsidRDefault="005A255C" w:rsidP="00E33F7C">
      <w:pPr>
        <w:pStyle w:val="Heading1-Statement"/>
      </w:pPr>
      <w:r w:rsidRPr="00E33F7C">
        <w:rPr>
          <w:rStyle w:val="Strong"/>
          <w:b/>
          <w:bCs/>
        </w:rPr>
        <w:t>Statement</w:t>
      </w:r>
      <w:r w:rsidRPr="00E4490E">
        <w:rPr>
          <w:rStyle w:val="Strong"/>
        </w:rPr>
        <w:t> 9</w:t>
      </w:r>
      <w:r w:rsidRPr="00E4490E">
        <w:rPr>
          <w:rStyle w:val="Strong"/>
          <w:rFonts w:eastAsia="Book Antiqua"/>
        </w:rPr>
        <w:t>:</w:t>
      </w:r>
      <w:r w:rsidRPr="00B832E0">
        <w:rPr>
          <w:rFonts w:eastAsia="Book Antiqua"/>
        </w:rPr>
        <w:t xml:space="preserve"> </w:t>
      </w:r>
      <w:r w:rsidRPr="00B832E0">
        <w:br/>
      </w:r>
      <w:r w:rsidRPr="00B832E0">
        <w:rPr>
          <w:rFonts w:eastAsia="Book Antiqua"/>
        </w:rPr>
        <w:t xml:space="preserve">Statement of Risks </w:t>
      </w:r>
    </w:p>
    <w:p w14:paraId="3921C7D6" w14:textId="10338BD4" w:rsidR="0012237E" w:rsidRPr="00B832E0" w:rsidRDefault="0012237E" w:rsidP="0012237E">
      <w:r w:rsidRPr="00B832E0">
        <w:t xml:space="preserve">A range of factors may influence the actual budget outcome in future years. The </w:t>
      </w:r>
      <w:r w:rsidRPr="00B832E0">
        <w:rPr>
          <w:i/>
        </w:rPr>
        <w:t>Charter of Budget Honesty Act</w:t>
      </w:r>
      <w:r>
        <w:rPr>
          <w:i/>
        </w:rPr>
        <w:t> </w:t>
      </w:r>
      <w:r w:rsidRPr="00B832E0">
        <w:rPr>
          <w:i/>
        </w:rPr>
        <w:t xml:space="preserve">1998 </w:t>
      </w:r>
      <w:r w:rsidRPr="00B832E0">
        <w:t>requires these factors to be disclosed in a statement of risks in each Budget and Mid</w:t>
      </w:r>
      <w:r w:rsidR="00D737F9">
        <w:noBreakHyphen/>
      </w:r>
      <w:r w:rsidRPr="00B832E0">
        <w:t>Year Economic and Fiscal Outlook. This Statement outlines general fiscal risks, specific contingent liabilities and specific contingent assets that may affect the budget</w:t>
      </w:r>
      <w:r w:rsidR="00DE27F8">
        <w:t> </w:t>
      </w:r>
      <w:r w:rsidRPr="00B832E0">
        <w:t>balances.</w:t>
      </w:r>
    </w:p>
    <w:p w14:paraId="390DAC16" w14:textId="77777777" w:rsidR="009D70F5" w:rsidRDefault="009D70F5" w:rsidP="009D70F5">
      <w:pPr>
        <w:spacing w:before="0" w:after="160" w:line="259" w:lineRule="auto"/>
      </w:pPr>
      <w:r>
        <w:br w:type="page"/>
      </w:r>
    </w:p>
    <w:p w14:paraId="5C8F93BE" w14:textId="77777777" w:rsidR="009D70F5" w:rsidRPr="00B832E0" w:rsidRDefault="009D70F5" w:rsidP="009D70F5"/>
    <w:p w14:paraId="0B23D25E" w14:textId="77777777" w:rsidR="009D70F5" w:rsidRPr="0030751D" w:rsidRDefault="009D70F5" w:rsidP="009D70F5">
      <w:pPr>
        <w:tabs>
          <w:tab w:val="left" w:pos="2467"/>
        </w:tabs>
        <w:rPr>
          <w:rFonts w:cstheme="minorHAnsi"/>
          <w:color w:val="FFFFFF" w:themeColor="background1"/>
          <w:kern w:val="18"/>
          <w:sz w:val="18"/>
        </w:rPr>
        <w:sectPr w:rsidR="009D70F5" w:rsidRPr="0030751D" w:rsidSect="00E553B2">
          <w:headerReference w:type="even" r:id="rId11"/>
          <w:headerReference w:type="default" r:id="rId12"/>
          <w:footerReference w:type="default" r:id="rId13"/>
          <w:headerReference w:type="first" r:id="rId14"/>
          <w:footerReference w:type="first" r:id="rId15"/>
          <w:pgSz w:w="11907" w:h="16840" w:code="9"/>
          <w:pgMar w:top="2835" w:right="2098" w:bottom="2466" w:left="2098" w:header="1814" w:footer="1814" w:gutter="0"/>
          <w:pgNumType w:start="275"/>
          <w:cols w:space="708"/>
          <w:titlePg/>
          <w:docGrid w:linePitch="360"/>
        </w:sectPr>
      </w:pPr>
    </w:p>
    <w:p w14:paraId="784A1AAA" w14:textId="77777777" w:rsidR="009D70F5" w:rsidRPr="00B832E0" w:rsidRDefault="009D70F5" w:rsidP="009D70F5">
      <w:pPr>
        <w:pStyle w:val="ContentsHeading"/>
      </w:pPr>
      <w:r>
        <w:lastRenderedPageBreak/>
        <w:t>Statement c</w:t>
      </w:r>
      <w:r w:rsidRPr="00B832E0">
        <w:t>ontents</w:t>
      </w:r>
    </w:p>
    <w:p w14:paraId="52BA8904" w14:textId="38DAC2F1" w:rsidR="006615A9" w:rsidRDefault="009D70F5">
      <w:pPr>
        <w:pStyle w:val="TOC1"/>
        <w:rPr>
          <w:rFonts w:asciiTheme="minorHAnsi" w:eastAsiaTheme="minorEastAsia" w:hAnsiTheme="minorHAnsi" w:cstheme="minorBidi"/>
          <w:b w:val="0"/>
          <w:noProof/>
          <w:kern w:val="2"/>
          <w:sz w:val="22"/>
          <w:szCs w:val="22"/>
          <w14:ligatures w14:val="standardContextual"/>
        </w:rPr>
      </w:pPr>
      <w:r w:rsidRPr="00B832E0">
        <w:fldChar w:fldCharType="begin"/>
      </w:r>
      <w:r w:rsidRPr="00B832E0">
        <w:instrText xml:space="preserve"> TOC \h \z \u \t "Heading 2,1,Heading 3,2" </w:instrText>
      </w:r>
      <w:r w:rsidRPr="00B832E0">
        <w:fldChar w:fldCharType="separate"/>
      </w:r>
      <w:hyperlink w:anchor="_Toc166165482" w:history="1">
        <w:r w:rsidR="006615A9" w:rsidRPr="009B6A7B">
          <w:rPr>
            <w:rStyle w:val="Hyperlink"/>
            <w:rFonts w:eastAsia="Arial"/>
            <w:noProof/>
          </w:rPr>
          <w:t>Risks to the Budget – Overview</w:t>
        </w:r>
        <w:r w:rsidR="006615A9">
          <w:rPr>
            <w:noProof/>
            <w:webHidden/>
          </w:rPr>
          <w:tab/>
        </w:r>
        <w:r w:rsidR="006615A9">
          <w:rPr>
            <w:noProof/>
            <w:webHidden/>
          </w:rPr>
          <w:fldChar w:fldCharType="begin"/>
        </w:r>
        <w:r w:rsidR="006615A9">
          <w:rPr>
            <w:noProof/>
            <w:webHidden/>
          </w:rPr>
          <w:instrText xml:space="preserve"> PAGEREF _Toc166165482 \h </w:instrText>
        </w:r>
        <w:r w:rsidR="006615A9">
          <w:rPr>
            <w:noProof/>
            <w:webHidden/>
          </w:rPr>
        </w:r>
        <w:r w:rsidR="006615A9">
          <w:rPr>
            <w:noProof/>
            <w:webHidden/>
          </w:rPr>
          <w:fldChar w:fldCharType="separate"/>
        </w:r>
        <w:r w:rsidR="00ED5ABD">
          <w:rPr>
            <w:noProof/>
            <w:webHidden/>
          </w:rPr>
          <w:t>279</w:t>
        </w:r>
        <w:r w:rsidR="006615A9">
          <w:rPr>
            <w:noProof/>
            <w:webHidden/>
          </w:rPr>
          <w:fldChar w:fldCharType="end"/>
        </w:r>
      </w:hyperlink>
    </w:p>
    <w:p w14:paraId="592741E2" w14:textId="49A690DD"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83" w:history="1">
        <w:r w:rsidR="006615A9" w:rsidRPr="009B6A7B">
          <w:rPr>
            <w:rStyle w:val="Hyperlink"/>
            <w:noProof/>
          </w:rPr>
          <w:t>The risks associated with climate change</w:t>
        </w:r>
        <w:r w:rsidR="006615A9">
          <w:rPr>
            <w:noProof/>
            <w:webHidden/>
          </w:rPr>
          <w:tab/>
        </w:r>
        <w:r w:rsidR="006615A9">
          <w:rPr>
            <w:noProof/>
            <w:webHidden/>
          </w:rPr>
          <w:fldChar w:fldCharType="begin"/>
        </w:r>
        <w:r w:rsidR="006615A9">
          <w:rPr>
            <w:noProof/>
            <w:webHidden/>
          </w:rPr>
          <w:instrText xml:space="preserve"> PAGEREF _Toc166165483 \h </w:instrText>
        </w:r>
        <w:r w:rsidR="006615A9">
          <w:rPr>
            <w:noProof/>
            <w:webHidden/>
          </w:rPr>
        </w:r>
        <w:r w:rsidR="006615A9">
          <w:rPr>
            <w:noProof/>
            <w:webHidden/>
          </w:rPr>
          <w:fldChar w:fldCharType="separate"/>
        </w:r>
        <w:r w:rsidR="00ED5ABD">
          <w:rPr>
            <w:noProof/>
            <w:webHidden/>
          </w:rPr>
          <w:t>280</w:t>
        </w:r>
        <w:r w:rsidR="006615A9">
          <w:rPr>
            <w:noProof/>
            <w:webHidden/>
          </w:rPr>
          <w:fldChar w:fldCharType="end"/>
        </w:r>
      </w:hyperlink>
    </w:p>
    <w:p w14:paraId="5217565D" w14:textId="09E542B7"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84" w:history="1">
        <w:r w:rsidR="006615A9" w:rsidRPr="009B6A7B">
          <w:rPr>
            <w:rStyle w:val="Hyperlink"/>
            <w:rFonts w:eastAsia="Arial"/>
            <w:noProof/>
          </w:rPr>
          <w:t>Specialist Investment Vehicles</w:t>
        </w:r>
        <w:r w:rsidR="006615A9">
          <w:rPr>
            <w:noProof/>
            <w:webHidden/>
          </w:rPr>
          <w:tab/>
        </w:r>
        <w:r w:rsidR="006615A9">
          <w:rPr>
            <w:noProof/>
            <w:webHidden/>
          </w:rPr>
          <w:fldChar w:fldCharType="begin"/>
        </w:r>
        <w:r w:rsidR="006615A9">
          <w:rPr>
            <w:noProof/>
            <w:webHidden/>
          </w:rPr>
          <w:instrText xml:space="preserve"> PAGEREF _Toc166165484 \h </w:instrText>
        </w:r>
        <w:r w:rsidR="006615A9">
          <w:rPr>
            <w:noProof/>
            <w:webHidden/>
          </w:rPr>
        </w:r>
        <w:r w:rsidR="006615A9">
          <w:rPr>
            <w:noProof/>
            <w:webHidden/>
          </w:rPr>
          <w:fldChar w:fldCharType="separate"/>
        </w:r>
        <w:r w:rsidR="00ED5ABD">
          <w:rPr>
            <w:noProof/>
            <w:webHidden/>
          </w:rPr>
          <w:t>281</w:t>
        </w:r>
        <w:r w:rsidR="006615A9">
          <w:rPr>
            <w:noProof/>
            <w:webHidden/>
          </w:rPr>
          <w:fldChar w:fldCharType="end"/>
        </w:r>
      </w:hyperlink>
    </w:p>
    <w:p w14:paraId="645910C3" w14:textId="312DE848"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85" w:history="1">
        <w:r w:rsidR="006615A9" w:rsidRPr="009B6A7B">
          <w:rPr>
            <w:rStyle w:val="Hyperlink"/>
            <w:rFonts w:eastAsia="Arial"/>
            <w:noProof/>
          </w:rPr>
          <w:t>Specific risks to the Budget</w:t>
        </w:r>
        <w:r w:rsidR="006615A9">
          <w:rPr>
            <w:noProof/>
            <w:webHidden/>
          </w:rPr>
          <w:tab/>
        </w:r>
        <w:r w:rsidR="006615A9">
          <w:rPr>
            <w:noProof/>
            <w:webHidden/>
          </w:rPr>
          <w:fldChar w:fldCharType="begin"/>
        </w:r>
        <w:r w:rsidR="006615A9">
          <w:rPr>
            <w:noProof/>
            <w:webHidden/>
          </w:rPr>
          <w:instrText xml:space="preserve"> PAGEREF _Toc166165485 \h </w:instrText>
        </w:r>
        <w:r w:rsidR="006615A9">
          <w:rPr>
            <w:noProof/>
            <w:webHidden/>
          </w:rPr>
        </w:r>
        <w:r w:rsidR="006615A9">
          <w:rPr>
            <w:noProof/>
            <w:webHidden/>
          </w:rPr>
          <w:fldChar w:fldCharType="separate"/>
        </w:r>
        <w:r w:rsidR="00ED5ABD">
          <w:rPr>
            <w:noProof/>
            <w:webHidden/>
          </w:rPr>
          <w:t>281</w:t>
        </w:r>
        <w:r w:rsidR="006615A9">
          <w:rPr>
            <w:noProof/>
            <w:webHidden/>
          </w:rPr>
          <w:fldChar w:fldCharType="end"/>
        </w:r>
      </w:hyperlink>
    </w:p>
    <w:p w14:paraId="47E50705" w14:textId="0D2374C3"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486" w:history="1">
        <w:r w:rsidR="006615A9" w:rsidRPr="009B6A7B">
          <w:rPr>
            <w:rStyle w:val="Hyperlink"/>
            <w:noProof/>
          </w:rPr>
          <w:t>Agriculture, Fisheries and Forestry</w:t>
        </w:r>
        <w:r w:rsidR="006615A9">
          <w:rPr>
            <w:noProof/>
            <w:webHidden/>
          </w:rPr>
          <w:tab/>
        </w:r>
        <w:r w:rsidR="006615A9">
          <w:rPr>
            <w:noProof/>
            <w:webHidden/>
          </w:rPr>
          <w:fldChar w:fldCharType="begin"/>
        </w:r>
        <w:r w:rsidR="006615A9">
          <w:rPr>
            <w:noProof/>
            <w:webHidden/>
          </w:rPr>
          <w:instrText xml:space="preserve"> PAGEREF _Toc166165486 \h </w:instrText>
        </w:r>
        <w:r w:rsidR="006615A9">
          <w:rPr>
            <w:noProof/>
            <w:webHidden/>
          </w:rPr>
        </w:r>
        <w:r w:rsidR="006615A9">
          <w:rPr>
            <w:noProof/>
            <w:webHidden/>
          </w:rPr>
          <w:fldChar w:fldCharType="separate"/>
        </w:r>
        <w:r w:rsidR="00ED5ABD">
          <w:rPr>
            <w:noProof/>
            <w:webHidden/>
          </w:rPr>
          <w:t>288</w:t>
        </w:r>
        <w:r w:rsidR="006615A9">
          <w:rPr>
            <w:noProof/>
            <w:webHidden/>
          </w:rPr>
          <w:fldChar w:fldCharType="end"/>
        </w:r>
      </w:hyperlink>
    </w:p>
    <w:p w14:paraId="384B2029" w14:textId="3CC17A7E"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87"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_Toc166165487 \h </w:instrText>
        </w:r>
        <w:r w:rsidR="006615A9">
          <w:rPr>
            <w:noProof/>
            <w:webHidden/>
          </w:rPr>
        </w:r>
        <w:r w:rsidR="006615A9">
          <w:rPr>
            <w:noProof/>
            <w:webHidden/>
          </w:rPr>
          <w:fldChar w:fldCharType="separate"/>
        </w:r>
        <w:r w:rsidR="00ED5ABD">
          <w:rPr>
            <w:noProof/>
            <w:webHidden/>
          </w:rPr>
          <w:t>288</w:t>
        </w:r>
        <w:r w:rsidR="006615A9">
          <w:rPr>
            <w:noProof/>
            <w:webHidden/>
          </w:rPr>
          <w:fldChar w:fldCharType="end"/>
        </w:r>
      </w:hyperlink>
    </w:p>
    <w:p w14:paraId="351D9A77" w14:textId="3D7085CF"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488" w:history="1">
        <w:r w:rsidR="006615A9" w:rsidRPr="009B6A7B">
          <w:rPr>
            <w:rStyle w:val="Hyperlink"/>
            <w:noProof/>
          </w:rPr>
          <w:t>Attorney</w:t>
        </w:r>
        <w:r w:rsidR="006615A9" w:rsidRPr="009B6A7B">
          <w:rPr>
            <w:rStyle w:val="Hyperlink"/>
            <w:noProof/>
          </w:rPr>
          <w:noBreakHyphen/>
          <w:t>General’s</w:t>
        </w:r>
        <w:r w:rsidR="006615A9">
          <w:rPr>
            <w:noProof/>
            <w:webHidden/>
          </w:rPr>
          <w:tab/>
        </w:r>
        <w:r w:rsidR="006615A9">
          <w:rPr>
            <w:noProof/>
            <w:webHidden/>
          </w:rPr>
          <w:fldChar w:fldCharType="begin"/>
        </w:r>
        <w:r w:rsidR="006615A9">
          <w:rPr>
            <w:noProof/>
            <w:webHidden/>
          </w:rPr>
          <w:instrText xml:space="preserve"> PAGEREF _Toc166165488 \h </w:instrText>
        </w:r>
        <w:r w:rsidR="006615A9">
          <w:rPr>
            <w:noProof/>
            <w:webHidden/>
          </w:rPr>
        </w:r>
        <w:r w:rsidR="006615A9">
          <w:rPr>
            <w:noProof/>
            <w:webHidden/>
          </w:rPr>
          <w:fldChar w:fldCharType="separate"/>
        </w:r>
        <w:r w:rsidR="00ED5ABD">
          <w:rPr>
            <w:noProof/>
            <w:webHidden/>
          </w:rPr>
          <w:t>290</w:t>
        </w:r>
        <w:r w:rsidR="006615A9">
          <w:rPr>
            <w:noProof/>
            <w:webHidden/>
          </w:rPr>
          <w:fldChar w:fldCharType="end"/>
        </w:r>
      </w:hyperlink>
    </w:p>
    <w:p w14:paraId="4BBB8B57" w14:textId="083CFA53"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89" w:history="1">
        <w:r w:rsidR="006615A9" w:rsidRPr="009B6A7B">
          <w:rPr>
            <w:rStyle w:val="Hyperlink"/>
            <w:noProof/>
          </w:rPr>
          <w:t>Significant but remote contingency</w:t>
        </w:r>
        <w:r w:rsidR="006615A9">
          <w:rPr>
            <w:noProof/>
            <w:webHidden/>
          </w:rPr>
          <w:tab/>
        </w:r>
        <w:r w:rsidR="006615A9">
          <w:rPr>
            <w:noProof/>
            <w:webHidden/>
          </w:rPr>
          <w:fldChar w:fldCharType="begin"/>
        </w:r>
        <w:r w:rsidR="006615A9">
          <w:rPr>
            <w:noProof/>
            <w:webHidden/>
          </w:rPr>
          <w:instrText xml:space="preserve"> PAGEREF _Toc166165489 \h </w:instrText>
        </w:r>
        <w:r w:rsidR="006615A9">
          <w:rPr>
            <w:noProof/>
            <w:webHidden/>
          </w:rPr>
        </w:r>
        <w:r w:rsidR="006615A9">
          <w:rPr>
            <w:noProof/>
            <w:webHidden/>
          </w:rPr>
          <w:fldChar w:fldCharType="separate"/>
        </w:r>
        <w:r w:rsidR="00ED5ABD">
          <w:rPr>
            <w:noProof/>
            <w:webHidden/>
          </w:rPr>
          <w:t>290</w:t>
        </w:r>
        <w:r w:rsidR="006615A9">
          <w:rPr>
            <w:noProof/>
            <w:webHidden/>
          </w:rPr>
          <w:fldChar w:fldCharType="end"/>
        </w:r>
      </w:hyperlink>
    </w:p>
    <w:p w14:paraId="74DD66B6" w14:textId="31FEE6BF"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0"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_Toc166165490 \h </w:instrText>
        </w:r>
        <w:r w:rsidR="006615A9">
          <w:rPr>
            <w:noProof/>
            <w:webHidden/>
          </w:rPr>
        </w:r>
        <w:r w:rsidR="006615A9">
          <w:rPr>
            <w:noProof/>
            <w:webHidden/>
          </w:rPr>
          <w:fldChar w:fldCharType="separate"/>
        </w:r>
        <w:r w:rsidR="00ED5ABD">
          <w:rPr>
            <w:noProof/>
            <w:webHidden/>
          </w:rPr>
          <w:t>290</w:t>
        </w:r>
        <w:r w:rsidR="006615A9">
          <w:rPr>
            <w:noProof/>
            <w:webHidden/>
          </w:rPr>
          <w:fldChar w:fldCharType="end"/>
        </w:r>
      </w:hyperlink>
    </w:p>
    <w:p w14:paraId="6CBA59B6" w14:textId="2A2FE336"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1" w:history="1">
        <w:r w:rsidR="006615A9" w:rsidRPr="009B6A7B">
          <w:rPr>
            <w:rStyle w:val="Hyperlink"/>
            <w:noProof/>
          </w:rPr>
          <w:t>Contingent asset – unquantifiable</w:t>
        </w:r>
        <w:r w:rsidR="006615A9">
          <w:rPr>
            <w:noProof/>
            <w:webHidden/>
          </w:rPr>
          <w:tab/>
        </w:r>
        <w:r w:rsidR="006615A9">
          <w:rPr>
            <w:noProof/>
            <w:webHidden/>
          </w:rPr>
          <w:fldChar w:fldCharType="begin"/>
        </w:r>
        <w:r w:rsidR="006615A9">
          <w:rPr>
            <w:noProof/>
            <w:webHidden/>
          </w:rPr>
          <w:instrText xml:space="preserve"> PAGEREF _Toc166165491 \h </w:instrText>
        </w:r>
        <w:r w:rsidR="006615A9">
          <w:rPr>
            <w:noProof/>
            <w:webHidden/>
          </w:rPr>
        </w:r>
        <w:r w:rsidR="006615A9">
          <w:rPr>
            <w:noProof/>
            <w:webHidden/>
          </w:rPr>
          <w:fldChar w:fldCharType="separate"/>
        </w:r>
        <w:r w:rsidR="00ED5ABD">
          <w:rPr>
            <w:noProof/>
            <w:webHidden/>
          </w:rPr>
          <w:t>291</w:t>
        </w:r>
        <w:r w:rsidR="006615A9">
          <w:rPr>
            <w:noProof/>
            <w:webHidden/>
          </w:rPr>
          <w:fldChar w:fldCharType="end"/>
        </w:r>
      </w:hyperlink>
    </w:p>
    <w:p w14:paraId="44109639" w14:textId="63A7AE12"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492" w:history="1">
        <w:r w:rsidR="006615A9" w:rsidRPr="009B6A7B">
          <w:rPr>
            <w:rStyle w:val="Hyperlink"/>
            <w:noProof/>
          </w:rPr>
          <w:t>Climate Change, Energy, the Environment and Water</w:t>
        </w:r>
        <w:r w:rsidR="006615A9">
          <w:rPr>
            <w:noProof/>
            <w:webHidden/>
          </w:rPr>
          <w:tab/>
        </w:r>
        <w:r w:rsidR="006615A9">
          <w:rPr>
            <w:noProof/>
            <w:webHidden/>
          </w:rPr>
          <w:fldChar w:fldCharType="begin"/>
        </w:r>
        <w:r w:rsidR="006615A9">
          <w:rPr>
            <w:noProof/>
            <w:webHidden/>
          </w:rPr>
          <w:instrText xml:space="preserve"> PAGEREF _Toc166165492 \h </w:instrText>
        </w:r>
        <w:r w:rsidR="006615A9">
          <w:rPr>
            <w:noProof/>
            <w:webHidden/>
          </w:rPr>
        </w:r>
        <w:r w:rsidR="006615A9">
          <w:rPr>
            <w:noProof/>
            <w:webHidden/>
          </w:rPr>
          <w:fldChar w:fldCharType="separate"/>
        </w:r>
        <w:r w:rsidR="00ED5ABD">
          <w:rPr>
            <w:noProof/>
            <w:webHidden/>
          </w:rPr>
          <w:t>292</w:t>
        </w:r>
        <w:r w:rsidR="006615A9">
          <w:rPr>
            <w:noProof/>
            <w:webHidden/>
          </w:rPr>
          <w:fldChar w:fldCharType="end"/>
        </w:r>
      </w:hyperlink>
    </w:p>
    <w:p w14:paraId="4B5FF354" w14:textId="1FA8DB3C" w:rsidR="006615A9" w:rsidRDefault="00E979BB" w:rsidP="0041260A">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493" w:history="1">
        <w:r w:rsidR="006615A9" w:rsidRPr="009B6A7B">
          <w:rPr>
            <w:rStyle w:val="Hyperlink"/>
            <w:noProof/>
          </w:rPr>
          <w:t>Fiscal Risk</w:t>
        </w:r>
        <w:r w:rsidR="008D223E">
          <w:rPr>
            <w:rStyle w:val="Hyperlink"/>
            <w:noProof/>
          </w:rPr>
          <w:tab/>
        </w:r>
        <w:r w:rsidR="008D223E">
          <w:rPr>
            <w:rStyle w:val="Hyperlink"/>
            <w:noProof/>
          </w:rPr>
          <w:tab/>
        </w:r>
        <w:r w:rsidR="006615A9">
          <w:rPr>
            <w:noProof/>
            <w:webHidden/>
          </w:rPr>
          <w:fldChar w:fldCharType="begin"/>
        </w:r>
        <w:r w:rsidR="006615A9">
          <w:rPr>
            <w:noProof/>
            <w:webHidden/>
          </w:rPr>
          <w:instrText xml:space="preserve"> PAGEREF _Toc166165493 \h </w:instrText>
        </w:r>
        <w:r w:rsidR="006615A9">
          <w:rPr>
            <w:noProof/>
            <w:webHidden/>
          </w:rPr>
        </w:r>
        <w:r w:rsidR="006615A9">
          <w:rPr>
            <w:noProof/>
            <w:webHidden/>
          </w:rPr>
          <w:fldChar w:fldCharType="separate"/>
        </w:r>
        <w:r w:rsidR="00ED5ABD">
          <w:rPr>
            <w:noProof/>
            <w:webHidden/>
          </w:rPr>
          <w:t>292</w:t>
        </w:r>
        <w:r w:rsidR="006615A9">
          <w:rPr>
            <w:noProof/>
            <w:webHidden/>
          </w:rPr>
          <w:fldChar w:fldCharType="end"/>
        </w:r>
      </w:hyperlink>
    </w:p>
    <w:p w14:paraId="3B06C990" w14:textId="14F489EE"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4" w:history="1">
        <w:r w:rsidR="006615A9" w:rsidRPr="009B6A7B">
          <w:rPr>
            <w:rStyle w:val="Hyperlink"/>
            <w:noProof/>
          </w:rPr>
          <w:t>Significant but remote contingencies</w:t>
        </w:r>
        <w:r w:rsidR="006615A9">
          <w:rPr>
            <w:noProof/>
            <w:webHidden/>
          </w:rPr>
          <w:tab/>
        </w:r>
        <w:r w:rsidR="006615A9">
          <w:rPr>
            <w:noProof/>
            <w:webHidden/>
          </w:rPr>
          <w:fldChar w:fldCharType="begin"/>
        </w:r>
        <w:r w:rsidR="006615A9">
          <w:rPr>
            <w:noProof/>
            <w:webHidden/>
          </w:rPr>
          <w:instrText xml:space="preserve"> PAGEREF _Toc166165494 \h </w:instrText>
        </w:r>
        <w:r w:rsidR="006615A9">
          <w:rPr>
            <w:noProof/>
            <w:webHidden/>
          </w:rPr>
        </w:r>
        <w:r w:rsidR="006615A9">
          <w:rPr>
            <w:noProof/>
            <w:webHidden/>
          </w:rPr>
          <w:fldChar w:fldCharType="separate"/>
        </w:r>
        <w:r w:rsidR="00ED5ABD">
          <w:rPr>
            <w:noProof/>
            <w:webHidden/>
          </w:rPr>
          <w:t>292</w:t>
        </w:r>
        <w:r w:rsidR="006615A9">
          <w:rPr>
            <w:noProof/>
            <w:webHidden/>
          </w:rPr>
          <w:fldChar w:fldCharType="end"/>
        </w:r>
      </w:hyperlink>
    </w:p>
    <w:p w14:paraId="0E6F704F" w14:textId="61AEB514"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5" w:history="1">
        <w:r w:rsidR="006615A9" w:rsidRPr="009B6A7B">
          <w:rPr>
            <w:rStyle w:val="Hyperlink"/>
            <w:rFonts w:eastAsia="Arial" w:cs="Arial"/>
            <w:bCs/>
            <w:noProof/>
            <w:lang w:val="en-US"/>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_Toc166165495 \h </w:instrText>
        </w:r>
        <w:r w:rsidR="006615A9">
          <w:rPr>
            <w:noProof/>
            <w:webHidden/>
          </w:rPr>
        </w:r>
        <w:r w:rsidR="006615A9">
          <w:rPr>
            <w:noProof/>
            <w:webHidden/>
          </w:rPr>
          <w:fldChar w:fldCharType="separate"/>
        </w:r>
        <w:r w:rsidR="00ED5ABD">
          <w:rPr>
            <w:noProof/>
            <w:webHidden/>
          </w:rPr>
          <w:t>293</w:t>
        </w:r>
        <w:r w:rsidR="006615A9">
          <w:rPr>
            <w:noProof/>
            <w:webHidden/>
          </w:rPr>
          <w:fldChar w:fldCharType="end"/>
        </w:r>
      </w:hyperlink>
    </w:p>
    <w:p w14:paraId="643435C1" w14:textId="029C5212"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6" w:history="1">
        <w:r w:rsidR="006615A9" w:rsidRPr="009B6A7B">
          <w:rPr>
            <w:rStyle w:val="Hyperlink"/>
            <w:rFonts w:eastAsia="Arial" w:cs="Arial"/>
            <w:bCs/>
            <w:noProof/>
            <w:lang w:val="en-US"/>
          </w:rPr>
          <w:t>Contingent liability – quantifiable</w:t>
        </w:r>
        <w:r w:rsidR="006615A9">
          <w:rPr>
            <w:noProof/>
            <w:webHidden/>
          </w:rPr>
          <w:tab/>
        </w:r>
        <w:r w:rsidR="006615A9">
          <w:rPr>
            <w:noProof/>
            <w:webHidden/>
          </w:rPr>
          <w:fldChar w:fldCharType="begin"/>
        </w:r>
        <w:r w:rsidR="006615A9">
          <w:rPr>
            <w:noProof/>
            <w:webHidden/>
          </w:rPr>
          <w:instrText xml:space="preserve"> PAGEREF _Toc166165496 \h </w:instrText>
        </w:r>
        <w:r w:rsidR="006615A9">
          <w:rPr>
            <w:noProof/>
            <w:webHidden/>
          </w:rPr>
        </w:r>
        <w:r w:rsidR="006615A9">
          <w:rPr>
            <w:noProof/>
            <w:webHidden/>
          </w:rPr>
          <w:fldChar w:fldCharType="separate"/>
        </w:r>
        <w:r w:rsidR="00ED5ABD">
          <w:rPr>
            <w:noProof/>
            <w:webHidden/>
          </w:rPr>
          <w:t>295</w:t>
        </w:r>
        <w:r w:rsidR="006615A9">
          <w:rPr>
            <w:noProof/>
            <w:webHidden/>
          </w:rPr>
          <w:fldChar w:fldCharType="end"/>
        </w:r>
      </w:hyperlink>
    </w:p>
    <w:p w14:paraId="41FF09A6" w14:textId="5CD91213"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497" w:history="1">
        <w:r w:rsidR="006615A9" w:rsidRPr="009B6A7B">
          <w:rPr>
            <w:rStyle w:val="Hyperlink"/>
            <w:noProof/>
          </w:rPr>
          <w:t>Defence</w:t>
        </w:r>
        <w:r w:rsidR="006615A9">
          <w:rPr>
            <w:noProof/>
            <w:webHidden/>
          </w:rPr>
          <w:tab/>
        </w:r>
        <w:r w:rsidR="006615A9">
          <w:rPr>
            <w:noProof/>
            <w:webHidden/>
          </w:rPr>
          <w:fldChar w:fldCharType="begin"/>
        </w:r>
        <w:r w:rsidR="006615A9">
          <w:rPr>
            <w:noProof/>
            <w:webHidden/>
          </w:rPr>
          <w:instrText xml:space="preserve"> PAGEREF _Toc166165497 \h </w:instrText>
        </w:r>
        <w:r w:rsidR="006615A9">
          <w:rPr>
            <w:noProof/>
            <w:webHidden/>
          </w:rPr>
        </w:r>
        <w:r w:rsidR="006615A9">
          <w:rPr>
            <w:noProof/>
            <w:webHidden/>
          </w:rPr>
          <w:fldChar w:fldCharType="separate"/>
        </w:r>
        <w:r w:rsidR="00ED5ABD">
          <w:rPr>
            <w:noProof/>
            <w:webHidden/>
          </w:rPr>
          <w:t>296</w:t>
        </w:r>
        <w:r w:rsidR="006615A9">
          <w:rPr>
            <w:noProof/>
            <w:webHidden/>
          </w:rPr>
          <w:fldChar w:fldCharType="end"/>
        </w:r>
      </w:hyperlink>
    </w:p>
    <w:p w14:paraId="70220BA7" w14:textId="5B66B22B"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8" w:history="1">
        <w:r w:rsidR="006615A9" w:rsidRPr="009B6A7B">
          <w:rPr>
            <w:rStyle w:val="Hyperlink"/>
            <w:rFonts w:asciiTheme="majorHAnsi" w:hAnsiTheme="majorHAnsi" w:cstheme="majorHAnsi"/>
            <w:noProof/>
          </w:rPr>
          <w:t>Fiscal Risks</w:t>
        </w:r>
        <w:r w:rsidR="006615A9">
          <w:rPr>
            <w:noProof/>
            <w:webHidden/>
          </w:rPr>
          <w:tab/>
        </w:r>
        <w:r w:rsidR="005E16FF">
          <w:rPr>
            <w:noProof/>
            <w:webHidden/>
          </w:rPr>
          <w:tab/>
        </w:r>
        <w:r w:rsidR="006615A9">
          <w:rPr>
            <w:noProof/>
            <w:webHidden/>
          </w:rPr>
          <w:fldChar w:fldCharType="begin"/>
        </w:r>
        <w:r w:rsidR="006615A9">
          <w:rPr>
            <w:noProof/>
            <w:webHidden/>
          </w:rPr>
          <w:instrText xml:space="preserve"> PAGEREF _Toc166165498 \h </w:instrText>
        </w:r>
        <w:r w:rsidR="006615A9">
          <w:rPr>
            <w:noProof/>
            <w:webHidden/>
          </w:rPr>
        </w:r>
        <w:r w:rsidR="006615A9">
          <w:rPr>
            <w:noProof/>
            <w:webHidden/>
          </w:rPr>
          <w:fldChar w:fldCharType="separate"/>
        </w:r>
        <w:r w:rsidR="00ED5ABD">
          <w:rPr>
            <w:noProof/>
            <w:webHidden/>
          </w:rPr>
          <w:t>296</w:t>
        </w:r>
        <w:r w:rsidR="006615A9">
          <w:rPr>
            <w:noProof/>
            <w:webHidden/>
          </w:rPr>
          <w:fldChar w:fldCharType="end"/>
        </w:r>
      </w:hyperlink>
    </w:p>
    <w:p w14:paraId="65260A84" w14:textId="329ED269"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499" w:history="1">
        <w:r w:rsidR="006615A9" w:rsidRPr="009B6A7B">
          <w:rPr>
            <w:rStyle w:val="Hyperlink"/>
            <w:rFonts w:asciiTheme="majorHAnsi" w:hAnsiTheme="majorHAnsi" w:cstheme="majorHAnsi"/>
            <w:noProof/>
          </w:rPr>
          <w:t>Significant but remote contingencies</w:t>
        </w:r>
        <w:r w:rsidR="006615A9">
          <w:rPr>
            <w:noProof/>
            <w:webHidden/>
          </w:rPr>
          <w:tab/>
        </w:r>
        <w:r w:rsidR="006615A9">
          <w:rPr>
            <w:noProof/>
            <w:webHidden/>
          </w:rPr>
          <w:fldChar w:fldCharType="begin"/>
        </w:r>
        <w:r w:rsidR="006615A9">
          <w:rPr>
            <w:noProof/>
            <w:webHidden/>
          </w:rPr>
          <w:instrText xml:space="preserve"> PAGEREF _Toc166165499 \h </w:instrText>
        </w:r>
        <w:r w:rsidR="006615A9">
          <w:rPr>
            <w:noProof/>
            <w:webHidden/>
          </w:rPr>
        </w:r>
        <w:r w:rsidR="006615A9">
          <w:rPr>
            <w:noProof/>
            <w:webHidden/>
          </w:rPr>
          <w:fldChar w:fldCharType="separate"/>
        </w:r>
        <w:r w:rsidR="00ED5ABD">
          <w:rPr>
            <w:noProof/>
            <w:webHidden/>
          </w:rPr>
          <w:t>296</w:t>
        </w:r>
        <w:r w:rsidR="006615A9">
          <w:rPr>
            <w:noProof/>
            <w:webHidden/>
          </w:rPr>
          <w:fldChar w:fldCharType="end"/>
        </w:r>
      </w:hyperlink>
    </w:p>
    <w:p w14:paraId="7F6E45BD" w14:textId="5D19DEA1"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00"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_Toc166165500 \h </w:instrText>
        </w:r>
        <w:r w:rsidR="006615A9">
          <w:rPr>
            <w:noProof/>
            <w:webHidden/>
          </w:rPr>
        </w:r>
        <w:r w:rsidR="006615A9">
          <w:rPr>
            <w:noProof/>
            <w:webHidden/>
          </w:rPr>
          <w:fldChar w:fldCharType="separate"/>
        </w:r>
        <w:r w:rsidR="00ED5ABD">
          <w:rPr>
            <w:noProof/>
            <w:webHidden/>
          </w:rPr>
          <w:t>297</w:t>
        </w:r>
        <w:r w:rsidR="006615A9">
          <w:rPr>
            <w:noProof/>
            <w:webHidden/>
          </w:rPr>
          <w:fldChar w:fldCharType="end"/>
        </w:r>
      </w:hyperlink>
    </w:p>
    <w:p w14:paraId="4476510E" w14:textId="483B6F4D"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01" w:history="1">
        <w:r w:rsidR="006615A9" w:rsidRPr="009B6A7B">
          <w:rPr>
            <w:rStyle w:val="Hyperlink"/>
            <w:noProof/>
          </w:rPr>
          <w:t>Contingent liability – quantifiable</w:t>
        </w:r>
        <w:r w:rsidR="006615A9">
          <w:rPr>
            <w:noProof/>
            <w:webHidden/>
          </w:rPr>
          <w:tab/>
        </w:r>
        <w:r w:rsidR="006615A9">
          <w:rPr>
            <w:noProof/>
            <w:webHidden/>
          </w:rPr>
          <w:fldChar w:fldCharType="begin"/>
        </w:r>
        <w:r w:rsidR="006615A9">
          <w:rPr>
            <w:noProof/>
            <w:webHidden/>
          </w:rPr>
          <w:instrText xml:space="preserve"> PAGEREF _Toc166165501 \h </w:instrText>
        </w:r>
        <w:r w:rsidR="006615A9">
          <w:rPr>
            <w:noProof/>
            <w:webHidden/>
          </w:rPr>
        </w:r>
        <w:r w:rsidR="006615A9">
          <w:rPr>
            <w:noProof/>
            <w:webHidden/>
          </w:rPr>
          <w:fldChar w:fldCharType="separate"/>
        </w:r>
        <w:r w:rsidR="00ED5ABD">
          <w:rPr>
            <w:noProof/>
            <w:webHidden/>
          </w:rPr>
          <w:t>298</w:t>
        </w:r>
        <w:r w:rsidR="006615A9">
          <w:rPr>
            <w:noProof/>
            <w:webHidden/>
          </w:rPr>
          <w:fldChar w:fldCharType="end"/>
        </w:r>
      </w:hyperlink>
    </w:p>
    <w:p w14:paraId="0A10676C" w14:textId="79BEC216"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02" w:history="1">
        <w:r w:rsidR="006615A9" w:rsidRPr="009B6A7B">
          <w:rPr>
            <w:rStyle w:val="Hyperlink"/>
            <w:noProof/>
          </w:rPr>
          <w:t>Employment and Workplace Relations</w:t>
        </w:r>
        <w:r w:rsidR="006615A9">
          <w:rPr>
            <w:noProof/>
            <w:webHidden/>
          </w:rPr>
          <w:tab/>
        </w:r>
        <w:r w:rsidR="006615A9">
          <w:rPr>
            <w:noProof/>
            <w:webHidden/>
          </w:rPr>
          <w:fldChar w:fldCharType="begin"/>
        </w:r>
        <w:r w:rsidR="006615A9">
          <w:rPr>
            <w:noProof/>
            <w:webHidden/>
          </w:rPr>
          <w:instrText xml:space="preserve"> PAGEREF _Toc166165502 \h </w:instrText>
        </w:r>
        <w:r w:rsidR="006615A9">
          <w:rPr>
            <w:noProof/>
            <w:webHidden/>
          </w:rPr>
        </w:r>
        <w:r w:rsidR="006615A9">
          <w:rPr>
            <w:noProof/>
            <w:webHidden/>
          </w:rPr>
          <w:fldChar w:fldCharType="separate"/>
        </w:r>
        <w:r w:rsidR="00ED5ABD">
          <w:rPr>
            <w:noProof/>
            <w:webHidden/>
          </w:rPr>
          <w:t>299</w:t>
        </w:r>
        <w:r w:rsidR="006615A9">
          <w:rPr>
            <w:noProof/>
            <w:webHidden/>
          </w:rPr>
          <w:fldChar w:fldCharType="end"/>
        </w:r>
      </w:hyperlink>
    </w:p>
    <w:p w14:paraId="325C4BD7" w14:textId="0373B2EC"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03" w:history="1">
        <w:r w:rsidR="006615A9" w:rsidRPr="009B6A7B">
          <w:rPr>
            <w:rStyle w:val="Hyperlink"/>
            <w:noProof/>
          </w:rPr>
          <w:t>Fiscal Risk</w:t>
        </w:r>
        <w:r w:rsidR="008D223E">
          <w:rPr>
            <w:rStyle w:val="Hyperlink"/>
            <w:noProof/>
          </w:rPr>
          <w:tab/>
        </w:r>
        <w:r w:rsidR="008D223E">
          <w:rPr>
            <w:rStyle w:val="Hyperlink"/>
            <w:noProof/>
          </w:rPr>
          <w:tab/>
        </w:r>
        <w:r w:rsidR="006615A9">
          <w:rPr>
            <w:noProof/>
            <w:webHidden/>
          </w:rPr>
          <w:fldChar w:fldCharType="begin"/>
        </w:r>
        <w:r w:rsidR="006615A9">
          <w:rPr>
            <w:noProof/>
            <w:webHidden/>
          </w:rPr>
          <w:instrText xml:space="preserve"> PAGEREF _Toc166165503 \h </w:instrText>
        </w:r>
        <w:r w:rsidR="006615A9">
          <w:rPr>
            <w:noProof/>
            <w:webHidden/>
          </w:rPr>
        </w:r>
        <w:r w:rsidR="006615A9">
          <w:rPr>
            <w:noProof/>
            <w:webHidden/>
          </w:rPr>
          <w:fldChar w:fldCharType="separate"/>
        </w:r>
        <w:r w:rsidR="00ED5ABD">
          <w:rPr>
            <w:noProof/>
            <w:webHidden/>
          </w:rPr>
          <w:t>299</w:t>
        </w:r>
        <w:r w:rsidR="006615A9">
          <w:rPr>
            <w:noProof/>
            <w:webHidden/>
          </w:rPr>
          <w:fldChar w:fldCharType="end"/>
        </w:r>
      </w:hyperlink>
    </w:p>
    <w:p w14:paraId="19D63406" w14:textId="096F1988"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04" w:history="1">
        <w:r w:rsidR="006615A9" w:rsidRPr="009B6A7B">
          <w:rPr>
            <w:rStyle w:val="Hyperlink"/>
            <w:noProof/>
          </w:rPr>
          <w:t>Contingent liabilities – quantifiable</w:t>
        </w:r>
        <w:r w:rsidR="006615A9">
          <w:rPr>
            <w:noProof/>
            <w:webHidden/>
          </w:rPr>
          <w:tab/>
        </w:r>
        <w:r w:rsidR="006615A9">
          <w:rPr>
            <w:noProof/>
            <w:webHidden/>
          </w:rPr>
          <w:fldChar w:fldCharType="begin"/>
        </w:r>
        <w:r w:rsidR="006615A9">
          <w:rPr>
            <w:noProof/>
            <w:webHidden/>
          </w:rPr>
          <w:instrText xml:space="preserve"> PAGEREF _Toc166165504 \h </w:instrText>
        </w:r>
        <w:r w:rsidR="006615A9">
          <w:rPr>
            <w:noProof/>
            <w:webHidden/>
          </w:rPr>
        </w:r>
        <w:r w:rsidR="006615A9">
          <w:rPr>
            <w:noProof/>
            <w:webHidden/>
          </w:rPr>
          <w:fldChar w:fldCharType="separate"/>
        </w:r>
        <w:r w:rsidR="00ED5ABD">
          <w:rPr>
            <w:noProof/>
            <w:webHidden/>
          </w:rPr>
          <w:t>299</w:t>
        </w:r>
        <w:r w:rsidR="006615A9">
          <w:rPr>
            <w:noProof/>
            <w:webHidden/>
          </w:rPr>
          <w:fldChar w:fldCharType="end"/>
        </w:r>
      </w:hyperlink>
    </w:p>
    <w:p w14:paraId="49969781" w14:textId="71878F8B"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05" w:history="1">
        <w:r w:rsidR="006615A9" w:rsidRPr="009B6A7B">
          <w:rPr>
            <w:rStyle w:val="Hyperlink"/>
            <w:noProof/>
          </w:rPr>
          <w:t>Finance</w:t>
        </w:r>
        <w:r w:rsidR="006615A9">
          <w:rPr>
            <w:noProof/>
            <w:webHidden/>
          </w:rPr>
          <w:tab/>
        </w:r>
        <w:r w:rsidR="006615A9">
          <w:rPr>
            <w:noProof/>
            <w:webHidden/>
          </w:rPr>
          <w:fldChar w:fldCharType="begin"/>
        </w:r>
        <w:r w:rsidR="006615A9">
          <w:rPr>
            <w:noProof/>
            <w:webHidden/>
          </w:rPr>
          <w:instrText xml:space="preserve"> PAGEREF _Toc166165505 \h </w:instrText>
        </w:r>
        <w:r w:rsidR="006615A9">
          <w:rPr>
            <w:noProof/>
            <w:webHidden/>
          </w:rPr>
        </w:r>
        <w:r w:rsidR="006615A9">
          <w:rPr>
            <w:noProof/>
            <w:webHidden/>
          </w:rPr>
          <w:fldChar w:fldCharType="separate"/>
        </w:r>
        <w:r w:rsidR="00ED5ABD">
          <w:rPr>
            <w:noProof/>
            <w:webHidden/>
          </w:rPr>
          <w:t>301</w:t>
        </w:r>
        <w:r w:rsidR="006615A9">
          <w:rPr>
            <w:noProof/>
            <w:webHidden/>
          </w:rPr>
          <w:fldChar w:fldCharType="end"/>
        </w:r>
      </w:hyperlink>
    </w:p>
    <w:p w14:paraId="313F1B16" w14:textId="6076C331"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06" w:history="1">
        <w:r w:rsidR="006615A9" w:rsidRPr="009B6A7B">
          <w:rPr>
            <w:rStyle w:val="Hyperlink"/>
            <w:noProof/>
          </w:rPr>
          <w:t>Significant but remote contingency</w:t>
        </w:r>
        <w:r w:rsidR="006615A9">
          <w:rPr>
            <w:noProof/>
            <w:webHidden/>
          </w:rPr>
          <w:tab/>
        </w:r>
        <w:r w:rsidR="006615A9">
          <w:rPr>
            <w:noProof/>
            <w:webHidden/>
          </w:rPr>
          <w:fldChar w:fldCharType="begin"/>
        </w:r>
        <w:r w:rsidR="006615A9">
          <w:rPr>
            <w:noProof/>
            <w:webHidden/>
          </w:rPr>
          <w:instrText xml:space="preserve"> PAGEREF _Toc166165506 \h </w:instrText>
        </w:r>
        <w:r w:rsidR="006615A9">
          <w:rPr>
            <w:noProof/>
            <w:webHidden/>
          </w:rPr>
        </w:r>
        <w:r w:rsidR="006615A9">
          <w:rPr>
            <w:noProof/>
            <w:webHidden/>
          </w:rPr>
          <w:fldChar w:fldCharType="separate"/>
        </w:r>
        <w:r w:rsidR="00ED5ABD">
          <w:rPr>
            <w:noProof/>
            <w:webHidden/>
          </w:rPr>
          <w:t>301</w:t>
        </w:r>
        <w:r w:rsidR="006615A9">
          <w:rPr>
            <w:noProof/>
            <w:webHidden/>
          </w:rPr>
          <w:fldChar w:fldCharType="end"/>
        </w:r>
      </w:hyperlink>
    </w:p>
    <w:p w14:paraId="5CFEF20F" w14:textId="58F74D40"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07"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_Toc166165507 \h </w:instrText>
        </w:r>
        <w:r w:rsidR="006615A9">
          <w:rPr>
            <w:noProof/>
            <w:webHidden/>
          </w:rPr>
        </w:r>
        <w:r w:rsidR="006615A9">
          <w:rPr>
            <w:noProof/>
            <w:webHidden/>
          </w:rPr>
          <w:fldChar w:fldCharType="separate"/>
        </w:r>
        <w:r w:rsidR="00ED5ABD">
          <w:rPr>
            <w:noProof/>
            <w:webHidden/>
          </w:rPr>
          <w:t>301</w:t>
        </w:r>
        <w:r w:rsidR="006615A9">
          <w:rPr>
            <w:noProof/>
            <w:webHidden/>
          </w:rPr>
          <w:fldChar w:fldCharType="end"/>
        </w:r>
      </w:hyperlink>
    </w:p>
    <w:p w14:paraId="3B9905D6" w14:textId="27F086CE"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08" w:history="1">
        <w:r w:rsidR="006615A9" w:rsidRPr="009B6A7B">
          <w:rPr>
            <w:rStyle w:val="Hyperlink"/>
            <w:noProof/>
          </w:rPr>
          <w:t>Foreign Affairs and Trade</w:t>
        </w:r>
        <w:r w:rsidR="006615A9">
          <w:rPr>
            <w:noProof/>
            <w:webHidden/>
          </w:rPr>
          <w:tab/>
        </w:r>
        <w:r w:rsidR="006615A9">
          <w:rPr>
            <w:noProof/>
            <w:webHidden/>
          </w:rPr>
          <w:fldChar w:fldCharType="begin"/>
        </w:r>
        <w:r w:rsidR="006615A9">
          <w:rPr>
            <w:noProof/>
            <w:webHidden/>
          </w:rPr>
          <w:instrText xml:space="preserve"> PAGEREF _Toc166165508 \h </w:instrText>
        </w:r>
        <w:r w:rsidR="006615A9">
          <w:rPr>
            <w:noProof/>
            <w:webHidden/>
          </w:rPr>
        </w:r>
        <w:r w:rsidR="006615A9">
          <w:rPr>
            <w:noProof/>
            <w:webHidden/>
          </w:rPr>
          <w:fldChar w:fldCharType="separate"/>
        </w:r>
        <w:r w:rsidR="00ED5ABD">
          <w:rPr>
            <w:noProof/>
            <w:webHidden/>
          </w:rPr>
          <w:t>305</w:t>
        </w:r>
        <w:r w:rsidR="006615A9">
          <w:rPr>
            <w:noProof/>
            <w:webHidden/>
          </w:rPr>
          <w:fldChar w:fldCharType="end"/>
        </w:r>
      </w:hyperlink>
    </w:p>
    <w:p w14:paraId="7881BB28" w14:textId="5E0364D5"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09" w:history="1">
        <w:r w:rsidR="006615A9" w:rsidRPr="009B6A7B">
          <w:rPr>
            <w:rStyle w:val="Hyperlink"/>
            <w:noProof/>
          </w:rPr>
          <w:t>Fiscal Risk</w:t>
        </w:r>
        <w:r w:rsidR="006615A9">
          <w:rPr>
            <w:noProof/>
            <w:webHidden/>
          </w:rPr>
          <w:tab/>
        </w:r>
        <w:r w:rsidR="008D223E">
          <w:rPr>
            <w:noProof/>
            <w:webHidden/>
          </w:rPr>
          <w:tab/>
        </w:r>
        <w:r w:rsidR="006615A9">
          <w:rPr>
            <w:noProof/>
            <w:webHidden/>
          </w:rPr>
          <w:fldChar w:fldCharType="begin"/>
        </w:r>
        <w:r w:rsidR="006615A9">
          <w:rPr>
            <w:noProof/>
            <w:webHidden/>
          </w:rPr>
          <w:instrText xml:space="preserve"> PAGEREF _Toc166165509 \h </w:instrText>
        </w:r>
        <w:r w:rsidR="006615A9">
          <w:rPr>
            <w:noProof/>
            <w:webHidden/>
          </w:rPr>
        </w:r>
        <w:r w:rsidR="006615A9">
          <w:rPr>
            <w:noProof/>
            <w:webHidden/>
          </w:rPr>
          <w:fldChar w:fldCharType="separate"/>
        </w:r>
        <w:r w:rsidR="00ED5ABD">
          <w:rPr>
            <w:noProof/>
            <w:webHidden/>
          </w:rPr>
          <w:t>305</w:t>
        </w:r>
        <w:r w:rsidR="006615A9">
          <w:rPr>
            <w:noProof/>
            <w:webHidden/>
          </w:rPr>
          <w:fldChar w:fldCharType="end"/>
        </w:r>
      </w:hyperlink>
    </w:p>
    <w:p w14:paraId="23F5D443" w14:textId="0E227EDD"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10" w:history="1">
        <w:r w:rsidR="006615A9" w:rsidRPr="009B6A7B">
          <w:rPr>
            <w:rStyle w:val="Hyperlink"/>
            <w:noProof/>
          </w:rPr>
          <w:t>Contingent liability – quantifiable</w:t>
        </w:r>
        <w:r w:rsidR="006615A9">
          <w:rPr>
            <w:noProof/>
            <w:webHidden/>
          </w:rPr>
          <w:tab/>
        </w:r>
        <w:r w:rsidR="006615A9">
          <w:rPr>
            <w:noProof/>
            <w:webHidden/>
          </w:rPr>
          <w:fldChar w:fldCharType="begin"/>
        </w:r>
        <w:r w:rsidR="006615A9">
          <w:rPr>
            <w:noProof/>
            <w:webHidden/>
          </w:rPr>
          <w:instrText xml:space="preserve"> PAGEREF _Toc166165510 \h </w:instrText>
        </w:r>
        <w:r w:rsidR="006615A9">
          <w:rPr>
            <w:noProof/>
            <w:webHidden/>
          </w:rPr>
        </w:r>
        <w:r w:rsidR="006615A9">
          <w:rPr>
            <w:noProof/>
            <w:webHidden/>
          </w:rPr>
          <w:fldChar w:fldCharType="separate"/>
        </w:r>
        <w:r w:rsidR="00ED5ABD">
          <w:rPr>
            <w:noProof/>
            <w:webHidden/>
          </w:rPr>
          <w:t>306</w:t>
        </w:r>
        <w:r w:rsidR="006615A9">
          <w:rPr>
            <w:noProof/>
            <w:webHidden/>
          </w:rPr>
          <w:fldChar w:fldCharType="end"/>
        </w:r>
      </w:hyperlink>
    </w:p>
    <w:p w14:paraId="28DCC304" w14:textId="594EECC1"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11" w:history="1">
        <w:r w:rsidR="006615A9" w:rsidRPr="009B6A7B">
          <w:rPr>
            <w:rStyle w:val="Hyperlink"/>
            <w:noProof/>
          </w:rPr>
          <w:t>Health and Aged Care</w:t>
        </w:r>
        <w:r w:rsidR="006615A9">
          <w:rPr>
            <w:noProof/>
            <w:webHidden/>
          </w:rPr>
          <w:tab/>
        </w:r>
        <w:r w:rsidR="006615A9">
          <w:rPr>
            <w:noProof/>
            <w:webHidden/>
          </w:rPr>
          <w:fldChar w:fldCharType="begin"/>
        </w:r>
        <w:r w:rsidR="006615A9">
          <w:rPr>
            <w:noProof/>
            <w:webHidden/>
          </w:rPr>
          <w:instrText xml:space="preserve"> PAGEREF _Toc166165511 \h </w:instrText>
        </w:r>
        <w:r w:rsidR="006615A9">
          <w:rPr>
            <w:noProof/>
            <w:webHidden/>
          </w:rPr>
        </w:r>
        <w:r w:rsidR="006615A9">
          <w:rPr>
            <w:noProof/>
            <w:webHidden/>
          </w:rPr>
          <w:fldChar w:fldCharType="separate"/>
        </w:r>
        <w:r w:rsidR="00ED5ABD">
          <w:rPr>
            <w:noProof/>
            <w:webHidden/>
          </w:rPr>
          <w:t>307</w:t>
        </w:r>
        <w:r w:rsidR="006615A9">
          <w:rPr>
            <w:noProof/>
            <w:webHidden/>
          </w:rPr>
          <w:fldChar w:fldCharType="end"/>
        </w:r>
      </w:hyperlink>
    </w:p>
    <w:p w14:paraId="38323E87" w14:textId="23D4FF0E"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12" w:history="1">
        <w:r w:rsidR="006615A9" w:rsidRPr="009B6A7B">
          <w:rPr>
            <w:rStyle w:val="Hyperlink"/>
            <w:noProof/>
          </w:rPr>
          <w:t>Fiscal Risk</w:t>
        </w:r>
        <w:r w:rsidR="006615A9">
          <w:rPr>
            <w:noProof/>
            <w:webHidden/>
          </w:rPr>
          <w:tab/>
        </w:r>
        <w:r w:rsidR="008D223E">
          <w:rPr>
            <w:noProof/>
            <w:webHidden/>
          </w:rPr>
          <w:tab/>
        </w:r>
        <w:r w:rsidR="006615A9">
          <w:rPr>
            <w:noProof/>
            <w:webHidden/>
          </w:rPr>
          <w:fldChar w:fldCharType="begin"/>
        </w:r>
        <w:r w:rsidR="006615A9">
          <w:rPr>
            <w:noProof/>
            <w:webHidden/>
          </w:rPr>
          <w:instrText xml:space="preserve"> PAGEREF _Toc166165512 \h </w:instrText>
        </w:r>
        <w:r w:rsidR="006615A9">
          <w:rPr>
            <w:noProof/>
            <w:webHidden/>
          </w:rPr>
        </w:r>
        <w:r w:rsidR="006615A9">
          <w:rPr>
            <w:noProof/>
            <w:webHidden/>
          </w:rPr>
          <w:fldChar w:fldCharType="separate"/>
        </w:r>
        <w:r w:rsidR="00ED5ABD">
          <w:rPr>
            <w:noProof/>
            <w:webHidden/>
          </w:rPr>
          <w:t>307</w:t>
        </w:r>
        <w:r w:rsidR="006615A9">
          <w:rPr>
            <w:noProof/>
            <w:webHidden/>
          </w:rPr>
          <w:fldChar w:fldCharType="end"/>
        </w:r>
      </w:hyperlink>
    </w:p>
    <w:p w14:paraId="7A95A538" w14:textId="49BC05C5"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13"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_Toc166165513 \h </w:instrText>
        </w:r>
        <w:r w:rsidR="006615A9">
          <w:rPr>
            <w:noProof/>
            <w:webHidden/>
          </w:rPr>
        </w:r>
        <w:r w:rsidR="006615A9">
          <w:rPr>
            <w:noProof/>
            <w:webHidden/>
          </w:rPr>
          <w:fldChar w:fldCharType="separate"/>
        </w:r>
        <w:r w:rsidR="00ED5ABD">
          <w:rPr>
            <w:noProof/>
            <w:webHidden/>
          </w:rPr>
          <w:t>307</w:t>
        </w:r>
        <w:r w:rsidR="006615A9">
          <w:rPr>
            <w:noProof/>
            <w:webHidden/>
          </w:rPr>
          <w:fldChar w:fldCharType="end"/>
        </w:r>
      </w:hyperlink>
    </w:p>
    <w:p w14:paraId="59F04FED" w14:textId="3580F9B6"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14" w:history="1">
        <w:r w:rsidR="006615A9" w:rsidRPr="009B6A7B">
          <w:rPr>
            <w:rStyle w:val="Hyperlink"/>
            <w:rFonts w:eastAsia="Arial"/>
            <w:noProof/>
          </w:rPr>
          <w:t>Contingent asset – unquantifiable</w:t>
        </w:r>
        <w:r w:rsidR="006615A9">
          <w:rPr>
            <w:noProof/>
            <w:webHidden/>
          </w:rPr>
          <w:tab/>
        </w:r>
        <w:r w:rsidR="006615A9">
          <w:rPr>
            <w:noProof/>
            <w:webHidden/>
          </w:rPr>
          <w:fldChar w:fldCharType="begin"/>
        </w:r>
        <w:r w:rsidR="006615A9">
          <w:rPr>
            <w:noProof/>
            <w:webHidden/>
          </w:rPr>
          <w:instrText xml:space="preserve"> PAGEREF _Toc166165514 \h </w:instrText>
        </w:r>
        <w:r w:rsidR="006615A9">
          <w:rPr>
            <w:noProof/>
            <w:webHidden/>
          </w:rPr>
        </w:r>
        <w:r w:rsidR="006615A9">
          <w:rPr>
            <w:noProof/>
            <w:webHidden/>
          </w:rPr>
          <w:fldChar w:fldCharType="separate"/>
        </w:r>
        <w:r w:rsidR="00ED5ABD">
          <w:rPr>
            <w:noProof/>
            <w:webHidden/>
          </w:rPr>
          <w:t>310</w:t>
        </w:r>
        <w:r w:rsidR="006615A9">
          <w:rPr>
            <w:noProof/>
            <w:webHidden/>
          </w:rPr>
          <w:fldChar w:fldCharType="end"/>
        </w:r>
      </w:hyperlink>
    </w:p>
    <w:p w14:paraId="7337173A" w14:textId="6A557C44"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15" w:history="1">
        <w:r w:rsidR="006615A9" w:rsidRPr="009B6A7B">
          <w:rPr>
            <w:rStyle w:val="Hyperlink"/>
            <w:noProof/>
          </w:rPr>
          <w:t>Home Affairs</w:t>
        </w:r>
        <w:r w:rsidR="006615A9">
          <w:rPr>
            <w:noProof/>
            <w:webHidden/>
          </w:rPr>
          <w:tab/>
        </w:r>
        <w:r w:rsidR="006615A9">
          <w:rPr>
            <w:noProof/>
            <w:webHidden/>
          </w:rPr>
          <w:fldChar w:fldCharType="begin"/>
        </w:r>
        <w:r w:rsidR="006615A9">
          <w:rPr>
            <w:noProof/>
            <w:webHidden/>
          </w:rPr>
          <w:instrText xml:space="preserve"> PAGEREF _Toc166165515 \h </w:instrText>
        </w:r>
        <w:r w:rsidR="006615A9">
          <w:rPr>
            <w:noProof/>
            <w:webHidden/>
          </w:rPr>
        </w:r>
        <w:r w:rsidR="006615A9">
          <w:rPr>
            <w:noProof/>
            <w:webHidden/>
          </w:rPr>
          <w:fldChar w:fldCharType="separate"/>
        </w:r>
        <w:r w:rsidR="00ED5ABD">
          <w:rPr>
            <w:noProof/>
            <w:webHidden/>
          </w:rPr>
          <w:t>311</w:t>
        </w:r>
        <w:r w:rsidR="006615A9">
          <w:rPr>
            <w:noProof/>
            <w:webHidden/>
          </w:rPr>
          <w:fldChar w:fldCharType="end"/>
        </w:r>
      </w:hyperlink>
    </w:p>
    <w:p w14:paraId="23830DFF" w14:textId="7EA341C4"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16" w:history="1">
        <w:r w:rsidR="006615A9" w:rsidRPr="009B6A7B">
          <w:rPr>
            <w:rStyle w:val="Hyperlink"/>
            <w:noProof/>
          </w:rPr>
          <w:t>Fiscal Risk</w:t>
        </w:r>
        <w:r w:rsidR="006615A9">
          <w:rPr>
            <w:noProof/>
            <w:webHidden/>
          </w:rPr>
          <w:tab/>
        </w:r>
        <w:r w:rsidR="008D223E">
          <w:rPr>
            <w:noProof/>
            <w:webHidden/>
          </w:rPr>
          <w:tab/>
        </w:r>
        <w:r w:rsidR="006615A9">
          <w:rPr>
            <w:noProof/>
            <w:webHidden/>
          </w:rPr>
          <w:fldChar w:fldCharType="begin"/>
        </w:r>
        <w:r w:rsidR="006615A9">
          <w:rPr>
            <w:noProof/>
            <w:webHidden/>
          </w:rPr>
          <w:instrText xml:space="preserve"> PAGEREF _Toc166165516 \h </w:instrText>
        </w:r>
        <w:r w:rsidR="006615A9">
          <w:rPr>
            <w:noProof/>
            <w:webHidden/>
          </w:rPr>
        </w:r>
        <w:r w:rsidR="006615A9">
          <w:rPr>
            <w:noProof/>
            <w:webHidden/>
          </w:rPr>
          <w:fldChar w:fldCharType="separate"/>
        </w:r>
        <w:r w:rsidR="00ED5ABD">
          <w:rPr>
            <w:noProof/>
            <w:webHidden/>
          </w:rPr>
          <w:t>311</w:t>
        </w:r>
        <w:r w:rsidR="006615A9">
          <w:rPr>
            <w:noProof/>
            <w:webHidden/>
          </w:rPr>
          <w:fldChar w:fldCharType="end"/>
        </w:r>
      </w:hyperlink>
    </w:p>
    <w:p w14:paraId="75BCC846" w14:textId="34679A54"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17"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_Toc166165517 \h </w:instrText>
        </w:r>
        <w:r w:rsidR="006615A9">
          <w:rPr>
            <w:noProof/>
            <w:webHidden/>
          </w:rPr>
        </w:r>
        <w:r w:rsidR="006615A9">
          <w:rPr>
            <w:noProof/>
            <w:webHidden/>
          </w:rPr>
          <w:fldChar w:fldCharType="separate"/>
        </w:r>
        <w:r w:rsidR="00ED5ABD">
          <w:rPr>
            <w:noProof/>
            <w:webHidden/>
          </w:rPr>
          <w:t>311</w:t>
        </w:r>
        <w:r w:rsidR="006615A9">
          <w:rPr>
            <w:noProof/>
            <w:webHidden/>
          </w:rPr>
          <w:fldChar w:fldCharType="end"/>
        </w:r>
      </w:hyperlink>
    </w:p>
    <w:p w14:paraId="665C210F" w14:textId="3E89D6B1"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18" w:history="1">
        <w:r w:rsidR="006615A9" w:rsidRPr="009B6A7B">
          <w:rPr>
            <w:rStyle w:val="Hyperlink"/>
            <w:noProof/>
          </w:rPr>
          <w:t>Industry, Science and Resources</w:t>
        </w:r>
        <w:r w:rsidR="006615A9">
          <w:rPr>
            <w:noProof/>
            <w:webHidden/>
          </w:rPr>
          <w:tab/>
        </w:r>
        <w:r w:rsidR="006615A9">
          <w:rPr>
            <w:noProof/>
            <w:webHidden/>
          </w:rPr>
          <w:fldChar w:fldCharType="begin"/>
        </w:r>
        <w:r w:rsidR="006615A9">
          <w:rPr>
            <w:noProof/>
            <w:webHidden/>
          </w:rPr>
          <w:instrText xml:space="preserve"> PAGEREF _Toc166165518 \h </w:instrText>
        </w:r>
        <w:r w:rsidR="006615A9">
          <w:rPr>
            <w:noProof/>
            <w:webHidden/>
          </w:rPr>
        </w:r>
        <w:r w:rsidR="006615A9">
          <w:rPr>
            <w:noProof/>
            <w:webHidden/>
          </w:rPr>
          <w:fldChar w:fldCharType="separate"/>
        </w:r>
        <w:r w:rsidR="00ED5ABD">
          <w:rPr>
            <w:noProof/>
            <w:webHidden/>
          </w:rPr>
          <w:t>314</w:t>
        </w:r>
        <w:r w:rsidR="006615A9">
          <w:rPr>
            <w:noProof/>
            <w:webHidden/>
          </w:rPr>
          <w:fldChar w:fldCharType="end"/>
        </w:r>
      </w:hyperlink>
    </w:p>
    <w:p w14:paraId="776D318F" w14:textId="58E270B9" w:rsidR="006615A9" w:rsidRPr="008D223E" w:rsidRDefault="00E979BB" w:rsidP="008D223E">
      <w:pPr>
        <w:pStyle w:val="TOC2"/>
        <w:tabs>
          <w:tab w:val="left" w:leader="dot" w:pos="992"/>
        </w:tabs>
        <w:rPr>
          <w:rStyle w:val="Hyperlink"/>
          <w:rFonts w:eastAsiaTheme="minorEastAsia"/>
          <w:noProof/>
        </w:rPr>
      </w:pPr>
      <w:hyperlink w:anchor="_Toc166165519" w:history="1">
        <w:r w:rsidR="006615A9" w:rsidRPr="009B6A7B">
          <w:rPr>
            <w:rStyle w:val="Hyperlink"/>
            <w:noProof/>
          </w:rPr>
          <w:t>Fiscal Risk</w:t>
        </w:r>
        <w:r w:rsidR="006615A9" w:rsidRPr="008D223E">
          <w:rPr>
            <w:rStyle w:val="Hyperlink"/>
            <w:noProof/>
            <w:webHidden/>
          </w:rPr>
          <w:tab/>
        </w:r>
        <w:r w:rsidR="008D223E" w:rsidRPr="008D223E">
          <w:rPr>
            <w:rStyle w:val="Hyperlink"/>
            <w:noProof/>
            <w:webHidden/>
          </w:rPr>
          <w:tab/>
        </w:r>
        <w:r w:rsidR="006615A9" w:rsidRPr="008D223E">
          <w:rPr>
            <w:rStyle w:val="Hyperlink"/>
            <w:noProof/>
            <w:webHidden/>
          </w:rPr>
          <w:fldChar w:fldCharType="begin"/>
        </w:r>
        <w:r w:rsidR="006615A9" w:rsidRPr="008D223E">
          <w:rPr>
            <w:rStyle w:val="Hyperlink"/>
            <w:noProof/>
            <w:webHidden/>
          </w:rPr>
          <w:instrText xml:space="preserve"> PAGEREF _Toc166165519 \h </w:instrText>
        </w:r>
        <w:r w:rsidR="006615A9" w:rsidRPr="008D223E">
          <w:rPr>
            <w:rStyle w:val="Hyperlink"/>
            <w:noProof/>
            <w:webHidden/>
          </w:rPr>
        </w:r>
        <w:r w:rsidR="006615A9" w:rsidRPr="008D223E">
          <w:rPr>
            <w:rStyle w:val="Hyperlink"/>
            <w:noProof/>
            <w:webHidden/>
          </w:rPr>
          <w:fldChar w:fldCharType="separate"/>
        </w:r>
        <w:r w:rsidR="00ED5ABD">
          <w:rPr>
            <w:rStyle w:val="Hyperlink"/>
            <w:noProof/>
            <w:webHidden/>
          </w:rPr>
          <w:t>314</w:t>
        </w:r>
        <w:r w:rsidR="006615A9" w:rsidRPr="008D223E">
          <w:rPr>
            <w:rStyle w:val="Hyperlink"/>
            <w:noProof/>
            <w:webHidden/>
          </w:rPr>
          <w:fldChar w:fldCharType="end"/>
        </w:r>
      </w:hyperlink>
    </w:p>
    <w:p w14:paraId="3313377B" w14:textId="0515152A"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20" w:history="1">
        <w:r w:rsidR="006615A9" w:rsidRPr="009B6A7B">
          <w:rPr>
            <w:rStyle w:val="Hyperlink"/>
            <w:noProof/>
          </w:rPr>
          <w:t>Significant but remote contingencies</w:t>
        </w:r>
        <w:r w:rsidR="006615A9">
          <w:rPr>
            <w:noProof/>
            <w:webHidden/>
          </w:rPr>
          <w:tab/>
        </w:r>
        <w:r w:rsidR="006615A9">
          <w:rPr>
            <w:noProof/>
            <w:webHidden/>
          </w:rPr>
          <w:fldChar w:fldCharType="begin"/>
        </w:r>
        <w:r w:rsidR="006615A9">
          <w:rPr>
            <w:noProof/>
            <w:webHidden/>
          </w:rPr>
          <w:instrText xml:space="preserve"> PAGEREF _Toc166165520 \h </w:instrText>
        </w:r>
        <w:r w:rsidR="006615A9">
          <w:rPr>
            <w:noProof/>
            <w:webHidden/>
          </w:rPr>
        </w:r>
        <w:r w:rsidR="006615A9">
          <w:rPr>
            <w:noProof/>
            <w:webHidden/>
          </w:rPr>
          <w:fldChar w:fldCharType="separate"/>
        </w:r>
        <w:r w:rsidR="00ED5ABD">
          <w:rPr>
            <w:noProof/>
            <w:webHidden/>
          </w:rPr>
          <w:t>314</w:t>
        </w:r>
        <w:r w:rsidR="006615A9">
          <w:rPr>
            <w:noProof/>
            <w:webHidden/>
          </w:rPr>
          <w:fldChar w:fldCharType="end"/>
        </w:r>
      </w:hyperlink>
    </w:p>
    <w:p w14:paraId="03443F55" w14:textId="7C5EB19F"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21"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_Toc166165521 \h </w:instrText>
        </w:r>
        <w:r w:rsidR="006615A9">
          <w:rPr>
            <w:noProof/>
            <w:webHidden/>
          </w:rPr>
        </w:r>
        <w:r w:rsidR="006615A9">
          <w:rPr>
            <w:noProof/>
            <w:webHidden/>
          </w:rPr>
          <w:fldChar w:fldCharType="separate"/>
        </w:r>
        <w:r w:rsidR="00ED5ABD">
          <w:rPr>
            <w:noProof/>
            <w:webHidden/>
          </w:rPr>
          <w:t>316</w:t>
        </w:r>
        <w:r w:rsidR="006615A9">
          <w:rPr>
            <w:noProof/>
            <w:webHidden/>
          </w:rPr>
          <w:fldChar w:fldCharType="end"/>
        </w:r>
      </w:hyperlink>
    </w:p>
    <w:p w14:paraId="6C3E4497" w14:textId="0D701F6E"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22" w:history="1">
        <w:r w:rsidR="006615A9" w:rsidRPr="009B6A7B">
          <w:rPr>
            <w:rStyle w:val="Hyperlink"/>
            <w:noProof/>
          </w:rPr>
          <w:t xml:space="preserve">Infrastructure, Transport, Regional Development, </w:t>
        </w:r>
        <w:r w:rsidR="00CF2346">
          <w:rPr>
            <w:rStyle w:val="Hyperlink"/>
            <w:noProof/>
          </w:rPr>
          <w:br/>
        </w:r>
        <w:r w:rsidR="006615A9" w:rsidRPr="009B6A7B">
          <w:rPr>
            <w:rStyle w:val="Hyperlink"/>
            <w:noProof/>
          </w:rPr>
          <w:t>Communications and the Arts</w:t>
        </w:r>
        <w:r w:rsidR="006615A9">
          <w:rPr>
            <w:noProof/>
            <w:webHidden/>
          </w:rPr>
          <w:tab/>
        </w:r>
        <w:r w:rsidR="006615A9">
          <w:rPr>
            <w:noProof/>
            <w:webHidden/>
          </w:rPr>
          <w:fldChar w:fldCharType="begin"/>
        </w:r>
        <w:r w:rsidR="006615A9">
          <w:rPr>
            <w:noProof/>
            <w:webHidden/>
          </w:rPr>
          <w:instrText xml:space="preserve"> PAGEREF _Toc166165522 \h </w:instrText>
        </w:r>
        <w:r w:rsidR="006615A9">
          <w:rPr>
            <w:noProof/>
            <w:webHidden/>
          </w:rPr>
        </w:r>
        <w:r w:rsidR="006615A9">
          <w:rPr>
            <w:noProof/>
            <w:webHidden/>
          </w:rPr>
          <w:fldChar w:fldCharType="separate"/>
        </w:r>
        <w:r w:rsidR="00ED5ABD">
          <w:rPr>
            <w:noProof/>
            <w:webHidden/>
          </w:rPr>
          <w:t>317</w:t>
        </w:r>
        <w:r w:rsidR="006615A9">
          <w:rPr>
            <w:noProof/>
            <w:webHidden/>
          </w:rPr>
          <w:fldChar w:fldCharType="end"/>
        </w:r>
      </w:hyperlink>
    </w:p>
    <w:p w14:paraId="2BDA5536" w14:textId="3F189ECC"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23" w:history="1">
        <w:r w:rsidR="006615A9" w:rsidRPr="009B6A7B">
          <w:rPr>
            <w:rStyle w:val="Hyperlink"/>
            <w:noProof/>
          </w:rPr>
          <w:t>Fiscal Risks</w:t>
        </w:r>
        <w:r w:rsidR="006615A9">
          <w:rPr>
            <w:noProof/>
            <w:webHidden/>
          </w:rPr>
          <w:tab/>
        </w:r>
        <w:r w:rsidR="008D223E">
          <w:rPr>
            <w:noProof/>
            <w:webHidden/>
          </w:rPr>
          <w:tab/>
        </w:r>
        <w:r w:rsidR="006615A9">
          <w:rPr>
            <w:noProof/>
            <w:webHidden/>
          </w:rPr>
          <w:fldChar w:fldCharType="begin"/>
        </w:r>
        <w:r w:rsidR="006615A9">
          <w:rPr>
            <w:noProof/>
            <w:webHidden/>
          </w:rPr>
          <w:instrText xml:space="preserve"> PAGEREF _Toc166165523 \h </w:instrText>
        </w:r>
        <w:r w:rsidR="006615A9">
          <w:rPr>
            <w:noProof/>
            <w:webHidden/>
          </w:rPr>
        </w:r>
        <w:r w:rsidR="006615A9">
          <w:rPr>
            <w:noProof/>
            <w:webHidden/>
          </w:rPr>
          <w:fldChar w:fldCharType="separate"/>
        </w:r>
        <w:r w:rsidR="00ED5ABD">
          <w:rPr>
            <w:noProof/>
            <w:webHidden/>
          </w:rPr>
          <w:t>317</w:t>
        </w:r>
        <w:r w:rsidR="006615A9">
          <w:rPr>
            <w:noProof/>
            <w:webHidden/>
          </w:rPr>
          <w:fldChar w:fldCharType="end"/>
        </w:r>
      </w:hyperlink>
    </w:p>
    <w:p w14:paraId="7203C8DD" w14:textId="06F27083"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24" w:history="1">
        <w:r w:rsidR="006615A9" w:rsidRPr="009B6A7B">
          <w:rPr>
            <w:rStyle w:val="Hyperlink"/>
            <w:noProof/>
          </w:rPr>
          <w:t>Significant but remote contingencies</w:t>
        </w:r>
        <w:r w:rsidR="006615A9">
          <w:rPr>
            <w:noProof/>
            <w:webHidden/>
          </w:rPr>
          <w:tab/>
        </w:r>
        <w:r w:rsidR="006615A9">
          <w:rPr>
            <w:noProof/>
            <w:webHidden/>
          </w:rPr>
          <w:fldChar w:fldCharType="begin"/>
        </w:r>
        <w:r w:rsidR="006615A9">
          <w:rPr>
            <w:noProof/>
            <w:webHidden/>
          </w:rPr>
          <w:instrText xml:space="preserve"> PAGEREF _Toc166165524 \h </w:instrText>
        </w:r>
        <w:r w:rsidR="006615A9">
          <w:rPr>
            <w:noProof/>
            <w:webHidden/>
          </w:rPr>
        </w:r>
        <w:r w:rsidR="006615A9">
          <w:rPr>
            <w:noProof/>
            <w:webHidden/>
          </w:rPr>
          <w:fldChar w:fldCharType="separate"/>
        </w:r>
        <w:r w:rsidR="00ED5ABD">
          <w:rPr>
            <w:noProof/>
            <w:webHidden/>
          </w:rPr>
          <w:t>318</w:t>
        </w:r>
        <w:r w:rsidR="006615A9">
          <w:rPr>
            <w:noProof/>
            <w:webHidden/>
          </w:rPr>
          <w:fldChar w:fldCharType="end"/>
        </w:r>
      </w:hyperlink>
    </w:p>
    <w:p w14:paraId="163DB4BB" w14:textId="41A763AB" w:rsidR="006615A9" w:rsidRDefault="00E979BB" w:rsidP="008D223E">
      <w:pPr>
        <w:pStyle w:val="TOC2"/>
        <w:tabs>
          <w:tab w:val="left" w:leader="dot" w:pos="992"/>
        </w:tabs>
        <w:rPr>
          <w:rFonts w:asciiTheme="minorHAnsi" w:eastAsiaTheme="minorEastAsia" w:hAnsiTheme="minorHAnsi" w:cstheme="minorBidi"/>
          <w:noProof/>
          <w:kern w:val="2"/>
          <w:sz w:val="22"/>
          <w:szCs w:val="22"/>
          <w14:ligatures w14:val="standardContextual"/>
        </w:rPr>
      </w:pPr>
      <w:hyperlink w:anchor="_Toc166165525" w:history="1">
        <w:r w:rsidR="006615A9" w:rsidRPr="009B6A7B">
          <w:rPr>
            <w:rStyle w:val="Hyperlink"/>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_Toc166165525 \h </w:instrText>
        </w:r>
        <w:r w:rsidR="006615A9">
          <w:rPr>
            <w:noProof/>
            <w:webHidden/>
          </w:rPr>
        </w:r>
        <w:r w:rsidR="006615A9">
          <w:rPr>
            <w:noProof/>
            <w:webHidden/>
          </w:rPr>
          <w:fldChar w:fldCharType="separate"/>
        </w:r>
        <w:r w:rsidR="00ED5ABD">
          <w:rPr>
            <w:noProof/>
            <w:webHidden/>
          </w:rPr>
          <w:t>320</w:t>
        </w:r>
        <w:r w:rsidR="006615A9">
          <w:rPr>
            <w:noProof/>
            <w:webHidden/>
          </w:rPr>
          <w:fldChar w:fldCharType="end"/>
        </w:r>
      </w:hyperlink>
    </w:p>
    <w:p w14:paraId="584B39E2" w14:textId="2D462C4A"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26" w:history="1">
        <w:r w:rsidR="006615A9" w:rsidRPr="009B6A7B">
          <w:rPr>
            <w:rStyle w:val="Hyperlink"/>
            <w:noProof/>
          </w:rPr>
          <w:t>Prime Minister and Cabinet</w:t>
        </w:r>
        <w:r w:rsidR="006615A9">
          <w:rPr>
            <w:noProof/>
            <w:webHidden/>
          </w:rPr>
          <w:tab/>
        </w:r>
        <w:r w:rsidR="006615A9">
          <w:rPr>
            <w:noProof/>
            <w:webHidden/>
          </w:rPr>
          <w:fldChar w:fldCharType="begin"/>
        </w:r>
        <w:r w:rsidR="006615A9">
          <w:rPr>
            <w:noProof/>
            <w:webHidden/>
          </w:rPr>
          <w:instrText xml:space="preserve"> PAGEREF _Toc166165526 \h </w:instrText>
        </w:r>
        <w:r w:rsidR="006615A9">
          <w:rPr>
            <w:noProof/>
            <w:webHidden/>
          </w:rPr>
        </w:r>
        <w:r w:rsidR="006615A9">
          <w:rPr>
            <w:noProof/>
            <w:webHidden/>
          </w:rPr>
          <w:fldChar w:fldCharType="separate"/>
        </w:r>
        <w:r w:rsidR="00ED5ABD">
          <w:rPr>
            <w:noProof/>
            <w:webHidden/>
          </w:rPr>
          <w:t>323</w:t>
        </w:r>
        <w:r w:rsidR="006615A9">
          <w:rPr>
            <w:noProof/>
            <w:webHidden/>
          </w:rPr>
          <w:fldChar w:fldCharType="end"/>
        </w:r>
      </w:hyperlink>
    </w:p>
    <w:p w14:paraId="58F865AC" w14:textId="2BAE0DCF"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27" w:history="1">
        <w:r w:rsidR="006615A9" w:rsidRPr="009B6A7B">
          <w:rPr>
            <w:rStyle w:val="Hyperlink"/>
            <w:noProof/>
          </w:rPr>
          <w:t>Contingent liability – unquantifiable</w:t>
        </w:r>
        <w:r w:rsidR="006615A9">
          <w:rPr>
            <w:noProof/>
            <w:webHidden/>
          </w:rPr>
          <w:tab/>
        </w:r>
        <w:r w:rsidR="006615A9">
          <w:rPr>
            <w:noProof/>
            <w:webHidden/>
          </w:rPr>
          <w:fldChar w:fldCharType="begin"/>
        </w:r>
        <w:r w:rsidR="006615A9">
          <w:rPr>
            <w:noProof/>
            <w:webHidden/>
          </w:rPr>
          <w:instrText xml:space="preserve"> PAGEREF _Toc166165527 \h </w:instrText>
        </w:r>
        <w:r w:rsidR="006615A9">
          <w:rPr>
            <w:noProof/>
            <w:webHidden/>
          </w:rPr>
        </w:r>
        <w:r w:rsidR="006615A9">
          <w:rPr>
            <w:noProof/>
            <w:webHidden/>
          </w:rPr>
          <w:fldChar w:fldCharType="separate"/>
        </w:r>
        <w:r w:rsidR="00ED5ABD">
          <w:rPr>
            <w:noProof/>
            <w:webHidden/>
          </w:rPr>
          <w:t>323</w:t>
        </w:r>
        <w:r w:rsidR="006615A9">
          <w:rPr>
            <w:noProof/>
            <w:webHidden/>
          </w:rPr>
          <w:fldChar w:fldCharType="end"/>
        </w:r>
      </w:hyperlink>
    </w:p>
    <w:p w14:paraId="4C6157C4" w14:textId="7776F60C"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28" w:history="1">
        <w:r w:rsidR="006615A9" w:rsidRPr="009B6A7B">
          <w:rPr>
            <w:rStyle w:val="Hyperlink"/>
            <w:noProof/>
          </w:rPr>
          <w:t>Contingent liability – quantifiable</w:t>
        </w:r>
        <w:r w:rsidR="006615A9">
          <w:rPr>
            <w:noProof/>
            <w:webHidden/>
          </w:rPr>
          <w:tab/>
        </w:r>
        <w:r w:rsidR="006615A9">
          <w:rPr>
            <w:noProof/>
            <w:webHidden/>
          </w:rPr>
          <w:fldChar w:fldCharType="begin"/>
        </w:r>
        <w:r w:rsidR="006615A9">
          <w:rPr>
            <w:noProof/>
            <w:webHidden/>
          </w:rPr>
          <w:instrText xml:space="preserve"> PAGEREF _Toc166165528 \h </w:instrText>
        </w:r>
        <w:r w:rsidR="006615A9">
          <w:rPr>
            <w:noProof/>
            <w:webHidden/>
          </w:rPr>
        </w:r>
        <w:r w:rsidR="006615A9">
          <w:rPr>
            <w:noProof/>
            <w:webHidden/>
          </w:rPr>
          <w:fldChar w:fldCharType="separate"/>
        </w:r>
        <w:r w:rsidR="00ED5ABD">
          <w:rPr>
            <w:noProof/>
            <w:webHidden/>
          </w:rPr>
          <w:t>323</w:t>
        </w:r>
        <w:r w:rsidR="006615A9">
          <w:rPr>
            <w:noProof/>
            <w:webHidden/>
          </w:rPr>
          <w:fldChar w:fldCharType="end"/>
        </w:r>
      </w:hyperlink>
    </w:p>
    <w:p w14:paraId="4D70E3B4" w14:textId="4CB59DB6"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29" w:history="1">
        <w:r w:rsidR="006615A9" w:rsidRPr="009B6A7B">
          <w:rPr>
            <w:rStyle w:val="Hyperlink"/>
            <w:noProof/>
          </w:rPr>
          <w:t>Social Services</w:t>
        </w:r>
        <w:r w:rsidR="006615A9">
          <w:rPr>
            <w:noProof/>
            <w:webHidden/>
          </w:rPr>
          <w:tab/>
        </w:r>
        <w:r w:rsidR="006615A9">
          <w:rPr>
            <w:noProof/>
            <w:webHidden/>
          </w:rPr>
          <w:fldChar w:fldCharType="begin"/>
        </w:r>
        <w:r w:rsidR="006615A9">
          <w:rPr>
            <w:noProof/>
            <w:webHidden/>
          </w:rPr>
          <w:instrText xml:space="preserve"> PAGEREF _Toc166165529 \h </w:instrText>
        </w:r>
        <w:r w:rsidR="006615A9">
          <w:rPr>
            <w:noProof/>
            <w:webHidden/>
          </w:rPr>
        </w:r>
        <w:r w:rsidR="006615A9">
          <w:rPr>
            <w:noProof/>
            <w:webHidden/>
          </w:rPr>
          <w:fldChar w:fldCharType="separate"/>
        </w:r>
        <w:r w:rsidR="00ED5ABD">
          <w:rPr>
            <w:noProof/>
            <w:webHidden/>
          </w:rPr>
          <w:t>324</w:t>
        </w:r>
        <w:r w:rsidR="006615A9">
          <w:rPr>
            <w:noProof/>
            <w:webHidden/>
          </w:rPr>
          <w:fldChar w:fldCharType="end"/>
        </w:r>
      </w:hyperlink>
    </w:p>
    <w:p w14:paraId="7EDC40A3" w14:textId="63300A86" w:rsidR="006615A9" w:rsidRPr="008D223E" w:rsidRDefault="00E979BB" w:rsidP="008D223E">
      <w:pPr>
        <w:pStyle w:val="TOC2"/>
        <w:tabs>
          <w:tab w:val="left" w:leader="dot" w:pos="992"/>
        </w:tabs>
        <w:rPr>
          <w:rStyle w:val="Hyperlink"/>
          <w:rFonts w:eastAsiaTheme="minorEastAsia"/>
          <w:noProof/>
        </w:rPr>
      </w:pPr>
      <w:hyperlink w:anchor="_Toc166165530" w:history="1">
        <w:r w:rsidR="006615A9" w:rsidRPr="009B6A7B">
          <w:rPr>
            <w:rStyle w:val="Hyperlink"/>
            <w:noProof/>
          </w:rPr>
          <w:t>Fiscal Risks</w:t>
        </w:r>
        <w:r w:rsidR="006615A9" w:rsidRPr="008D223E">
          <w:rPr>
            <w:rStyle w:val="Hyperlink"/>
            <w:noProof/>
            <w:webHidden/>
          </w:rPr>
          <w:tab/>
        </w:r>
        <w:r w:rsidR="008D223E">
          <w:rPr>
            <w:rStyle w:val="Hyperlink"/>
            <w:noProof/>
            <w:webHidden/>
          </w:rPr>
          <w:tab/>
        </w:r>
        <w:r w:rsidR="006615A9" w:rsidRPr="008D223E">
          <w:rPr>
            <w:rStyle w:val="Hyperlink"/>
            <w:noProof/>
            <w:webHidden/>
          </w:rPr>
          <w:fldChar w:fldCharType="begin"/>
        </w:r>
        <w:r w:rsidR="006615A9" w:rsidRPr="008D223E">
          <w:rPr>
            <w:rStyle w:val="Hyperlink"/>
            <w:noProof/>
            <w:webHidden/>
          </w:rPr>
          <w:instrText xml:space="preserve"> PAGEREF _Toc166165530 \h </w:instrText>
        </w:r>
        <w:r w:rsidR="006615A9" w:rsidRPr="008D223E">
          <w:rPr>
            <w:rStyle w:val="Hyperlink"/>
            <w:noProof/>
            <w:webHidden/>
          </w:rPr>
        </w:r>
        <w:r w:rsidR="006615A9" w:rsidRPr="008D223E">
          <w:rPr>
            <w:rStyle w:val="Hyperlink"/>
            <w:noProof/>
            <w:webHidden/>
          </w:rPr>
          <w:fldChar w:fldCharType="separate"/>
        </w:r>
        <w:r w:rsidR="00ED5ABD">
          <w:rPr>
            <w:rStyle w:val="Hyperlink"/>
            <w:noProof/>
            <w:webHidden/>
          </w:rPr>
          <w:t>324</w:t>
        </w:r>
        <w:r w:rsidR="006615A9" w:rsidRPr="008D223E">
          <w:rPr>
            <w:rStyle w:val="Hyperlink"/>
            <w:noProof/>
            <w:webHidden/>
          </w:rPr>
          <w:fldChar w:fldCharType="end"/>
        </w:r>
      </w:hyperlink>
    </w:p>
    <w:p w14:paraId="62A89BA8" w14:textId="293FBC13"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31" w:history="1">
        <w:r w:rsidR="006615A9" w:rsidRPr="009B6A7B">
          <w:rPr>
            <w:rStyle w:val="Hyperlink"/>
            <w:noProof/>
          </w:rPr>
          <w:t>Contingent liability – unquantifiable</w:t>
        </w:r>
        <w:r w:rsidR="006615A9">
          <w:rPr>
            <w:noProof/>
            <w:webHidden/>
          </w:rPr>
          <w:tab/>
        </w:r>
        <w:r w:rsidR="006615A9">
          <w:rPr>
            <w:noProof/>
            <w:webHidden/>
          </w:rPr>
          <w:fldChar w:fldCharType="begin"/>
        </w:r>
        <w:r w:rsidR="006615A9">
          <w:rPr>
            <w:noProof/>
            <w:webHidden/>
          </w:rPr>
          <w:instrText xml:space="preserve"> PAGEREF _Toc166165531 \h </w:instrText>
        </w:r>
        <w:r w:rsidR="006615A9">
          <w:rPr>
            <w:noProof/>
            <w:webHidden/>
          </w:rPr>
        </w:r>
        <w:r w:rsidR="006615A9">
          <w:rPr>
            <w:noProof/>
            <w:webHidden/>
          </w:rPr>
          <w:fldChar w:fldCharType="separate"/>
        </w:r>
        <w:r w:rsidR="00ED5ABD">
          <w:rPr>
            <w:noProof/>
            <w:webHidden/>
          </w:rPr>
          <w:t>325</w:t>
        </w:r>
        <w:r w:rsidR="006615A9">
          <w:rPr>
            <w:noProof/>
            <w:webHidden/>
          </w:rPr>
          <w:fldChar w:fldCharType="end"/>
        </w:r>
      </w:hyperlink>
    </w:p>
    <w:p w14:paraId="79687257" w14:textId="75EF356C"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32" w:history="1">
        <w:r w:rsidR="006615A9" w:rsidRPr="009B6A7B">
          <w:rPr>
            <w:rStyle w:val="Hyperlink"/>
            <w:noProof/>
          </w:rPr>
          <w:t>Contingent asset – quantifiable</w:t>
        </w:r>
        <w:r w:rsidR="006615A9">
          <w:rPr>
            <w:noProof/>
            <w:webHidden/>
          </w:rPr>
          <w:tab/>
        </w:r>
        <w:r w:rsidR="006615A9">
          <w:rPr>
            <w:noProof/>
            <w:webHidden/>
          </w:rPr>
          <w:fldChar w:fldCharType="begin"/>
        </w:r>
        <w:r w:rsidR="006615A9">
          <w:rPr>
            <w:noProof/>
            <w:webHidden/>
          </w:rPr>
          <w:instrText xml:space="preserve"> PAGEREF _Toc166165532 \h </w:instrText>
        </w:r>
        <w:r w:rsidR="006615A9">
          <w:rPr>
            <w:noProof/>
            <w:webHidden/>
          </w:rPr>
        </w:r>
        <w:r w:rsidR="006615A9">
          <w:rPr>
            <w:noProof/>
            <w:webHidden/>
          </w:rPr>
          <w:fldChar w:fldCharType="separate"/>
        </w:r>
        <w:r w:rsidR="00ED5ABD">
          <w:rPr>
            <w:noProof/>
            <w:webHidden/>
          </w:rPr>
          <w:t>325</w:t>
        </w:r>
        <w:r w:rsidR="006615A9">
          <w:rPr>
            <w:noProof/>
            <w:webHidden/>
          </w:rPr>
          <w:fldChar w:fldCharType="end"/>
        </w:r>
      </w:hyperlink>
    </w:p>
    <w:p w14:paraId="36F76C8A" w14:textId="04BDABCE"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33" w:history="1">
        <w:r w:rsidR="006615A9" w:rsidRPr="009B6A7B">
          <w:rPr>
            <w:rStyle w:val="Hyperlink"/>
            <w:noProof/>
          </w:rPr>
          <w:t>Treasury</w:t>
        </w:r>
        <w:r w:rsidR="006615A9">
          <w:rPr>
            <w:noProof/>
            <w:webHidden/>
          </w:rPr>
          <w:tab/>
        </w:r>
        <w:r w:rsidR="006615A9">
          <w:rPr>
            <w:noProof/>
            <w:webHidden/>
          </w:rPr>
          <w:fldChar w:fldCharType="begin"/>
        </w:r>
        <w:r w:rsidR="006615A9">
          <w:rPr>
            <w:noProof/>
            <w:webHidden/>
          </w:rPr>
          <w:instrText xml:space="preserve"> PAGEREF _Toc166165533 \h </w:instrText>
        </w:r>
        <w:r w:rsidR="006615A9">
          <w:rPr>
            <w:noProof/>
            <w:webHidden/>
          </w:rPr>
        </w:r>
        <w:r w:rsidR="006615A9">
          <w:rPr>
            <w:noProof/>
            <w:webHidden/>
          </w:rPr>
          <w:fldChar w:fldCharType="separate"/>
        </w:r>
        <w:r w:rsidR="00ED5ABD">
          <w:rPr>
            <w:noProof/>
            <w:webHidden/>
          </w:rPr>
          <w:t>326</w:t>
        </w:r>
        <w:r w:rsidR="006615A9">
          <w:rPr>
            <w:noProof/>
            <w:webHidden/>
          </w:rPr>
          <w:fldChar w:fldCharType="end"/>
        </w:r>
      </w:hyperlink>
    </w:p>
    <w:p w14:paraId="4D0BCA91" w14:textId="461C633C"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34" w:history="1">
        <w:r w:rsidR="006615A9" w:rsidRPr="009B6A7B">
          <w:rPr>
            <w:rStyle w:val="Hyperlink"/>
            <w:noProof/>
          </w:rPr>
          <w:t>Significant but remote contingencies</w:t>
        </w:r>
        <w:r w:rsidR="006615A9">
          <w:rPr>
            <w:noProof/>
            <w:webHidden/>
          </w:rPr>
          <w:tab/>
        </w:r>
        <w:r w:rsidR="006615A9">
          <w:rPr>
            <w:noProof/>
            <w:webHidden/>
          </w:rPr>
          <w:fldChar w:fldCharType="begin"/>
        </w:r>
        <w:r w:rsidR="006615A9">
          <w:rPr>
            <w:noProof/>
            <w:webHidden/>
          </w:rPr>
          <w:instrText xml:space="preserve"> PAGEREF _Toc166165534 \h </w:instrText>
        </w:r>
        <w:r w:rsidR="006615A9">
          <w:rPr>
            <w:noProof/>
            <w:webHidden/>
          </w:rPr>
        </w:r>
        <w:r w:rsidR="006615A9">
          <w:rPr>
            <w:noProof/>
            <w:webHidden/>
          </w:rPr>
          <w:fldChar w:fldCharType="separate"/>
        </w:r>
        <w:r w:rsidR="00ED5ABD">
          <w:rPr>
            <w:noProof/>
            <w:webHidden/>
          </w:rPr>
          <w:t>326</w:t>
        </w:r>
        <w:r w:rsidR="006615A9">
          <w:rPr>
            <w:noProof/>
            <w:webHidden/>
          </w:rPr>
          <w:fldChar w:fldCharType="end"/>
        </w:r>
      </w:hyperlink>
    </w:p>
    <w:p w14:paraId="5866EDBF" w14:textId="0FA10668"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35" w:history="1">
        <w:r w:rsidR="006615A9" w:rsidRPr="009B6A7B">
          <w:rPr>
            <w:rStyle w:val="Hyperlink"/>
            <w:rFonts w:eastAsia="Arial"/>
            <w:noProof/>
          </w:rPr>
          <w:t>Contingent liabilities – unquantifiable</w:t>
        </w:r>
        <w:r w:rsidR="006615A9">
          <w:rPr>
            <w:noProof/>
            <w:webHidden/>
          </w:rPr>
          <w:tab/>
        </w:r>
        <w:r w:rsidR="006615A9">
          <w:rPr>
            <w:noProof/>
            <w:webHidden/>
          </w:rPr>
          <w:fldChar w:fldCharType="begin"/>
        </w:r>
        <w:r w:rsidR="006615A9">
          <w:rPr>
            <w:noProof/>
            <w:webHidden/>
          </w:rPr>
          <w:instrText xml:space="preserve"> PAGEREF _Toc166165535 \h </w:instrText>
        </w:r>
        <w:r w:rsidR="006615A9">
          <w:rPr>
            <w:noProof/>
            <w:webHidden/>
          </w:rPr>
        </w:r>
        <w:r w:rsidR="006615A9">
          <w:rPr>
            <w:noProof/>
            <w:webHidden/>
          </w:rPr>
          <w:fldChar w:fldCharType="separate"/>
        </w:r>
        <w:r w:rsidR="00ED5ABD">
          <w:rPr>
            <w:noProof/>
            <w:webHidden/>
          </w:rPr>
          <w:t>327</w:t>
        </w:r>
        <w:r w:rsidR="006615A9">
          <w:rPr>
            <w:noProof/>
            <w:webHidden/>
          </w:rPr>
          <w:fldChar w:fldCharType="end"/>
        </w:r>
      </w:hyperlink>
    </w:p>
    <w:p w14:paraId="7FBBA6C1" w14:textId="47CFB37E"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36" w:history="1">
        <w:r w:rsidR="006615A9" w:rsidRPr="009B6A7B">
          <w:rPr>
            <w:rStyle w:val="Hyperlink"/>
            <w:rFonts w:eastAsia="Arial"/>
            <w:noProof/>
          </w:rPr>
          <w:t>Contingent liabilities – quantifiable</w:t>
        </w:r>
        <w:r w:rsidR="006615A9">
          <w:rPr>
            <w:noProof/>
            <w:webHidden/>
          </w:rPr>
          <w:tab/>
        </w:r>
        <w:r w:rsidR="006615A9">
          <w:rPr>
            <w:noProof/>
            <w:webHidden/>
          </w:rPr>
          <w:fldChar w:fldCharType="begin"/>
        </w:r>
        <w:r w:rsidR="006615A9">
          <w:rPr>
            <w:noProof/>
            <w:webHidden/>
          </w:rPr>
          <w:instrText xml:space="preserve"> PAGEREF _Toc166165536 \h </w:instrText>
        </w:r>
        <w:r w:rsidR="006615A9">
          <w:rPr>
            <w:noProof/>
            <w:webHidden/>
          </w:rPr>
        </w:r>
        <w:r w:rsidR="006615A9">
          <w:rPr>
            <w:noProof/>
            <w:webHidden/>
          </w:rPr>
          <w:fldChar w:fldCharType="separate"/>
        </w:r>
        <w:r w:rsidR="00ED5ABD">
          <w:rPr>
            <w:noProof/>
            <w:webHidden/>
          </w:rPr>
          <w:t>330</w:t>
        </w:r>
        <w:r w:rsidR="006615A9">
          <w:rPr>
            <w:noProof/>
            <w:webHidden/>
          </w:rPr>
          <w:fldChar w:fldCharType="end"/>
        </w:r>
      </w:hyperlink>
    </w:p>
    <w:p w14:paraId="5CF9294E" w14:textId="73AD3B6D"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37" w:history="1">
        <w:r w:rsidR="006615A9" w:rsidRPr="009B6A7B">
          <w:rPr>
            <w:rStyle w:val="Hyperlink"/>
            <w:rFonts w:eastAsia="Arial"/>
            <w:noProof/>
          </w:rPr>
          <w:t>Veterans’ Affairs</w:t>
        </w:r>
        <w:r w:rsidR="006615A9">
          <w:rPr>
            <w:noProof/>
            <w:webHidden/>
          </w:rPr>
          <w:tab/>
        </w:r>
        <w:r w:rsidR="006615A9">
          <w:rPr>
            <w:noProof/>
            <w:webHidden/>
          </w:rPr>
          <w:fldChar w:fldCharType="begin"/>
        </w:r>
        <w:r w:rsidR="006615A9">
          <w:rPr>
            <w:noProof/>
            <w:webHidden/>
          </w:rPr>
          <w:instrText xml:space="preserve"> PAGEREF _Toc166165537 \h </w:instrText>
        </w:r>
        <w:r w:rsidR="006615A9">
          <w:rPr>
            <w:noProof/>
            <w:webHidden/>
          </w:rPr>
        </w:r>
        <w:r w:rsidR="006615A9">
          <w:rPr>
            <w:noProof/>
            <w:webHidden/>
          </w:rPr>
          <w:fldChar w:fldCharType="separate"/>
        </w:r>
        <w:r w:rsidR="00ED5ABD">
          <w:rPr>
            <w:noProof/>
            <w:webHidden/>
          </w:rPr>
          <w:t>333</w:t>
        </w:r>
        <w:r w:rsidR="006615A9">
          <w:rPr>
            <w:noProof/>
            <w:webHidden/>
          </w:rPr>
          <w:fldChar w:fldCharType="end"/>
        </w:r>
      </w:hyperlink>
    </w:p>
    <w:p w14:paraId="5DB28474" w14:textId="0A04153E" w:rsidR="006615A9" w:rsidRPr="008D223E" w:rsidRDefault="00E979BB" w:rsidP="008D223E">
      <w:pPr>
        <w:pStyle w:val="TOC2"/>
        <w:tabs>
          <w:tab w:val="left" w:leader="dot" w:pos="992"/>
        </w:tabs>
        <w:rPr>
          <w:rStyle w:val="Hyperlink"/>
          <w:rFonts w:eastAsiaTheme="minorEastAsia"/>
          <w:noProof/>
        </w:rPr>
      </w:pPr>
      <w:hyperlink w:anchor="_Toc166165538" w:history="1">
        <w:r w:rsidR="006615A9" w:rsidRPr="008D223E">
          <w:rPr>
            <w:rStyle w:val="Hyperlink"/>
            <w:noProof/>
          </w:rPr>
          <w:t>Fiscal Risk</w:t>
        </w:r>
        <w:r w:rsidR="006615A9" w:rsidRPr="008D223E">
          <w:rPr>
            <w:rStyle w:val="Hyperlink"/>
            <w:noProof/>
            <w:webHidden/>
          </w:rPr>
          <w:tab/>
        </w:r>
        <w:r w:rsidR="008D223E">
          <w:rPr>
            <w:rStyle w:val="Hyperlink"/>
            <w:noProof/>
            <w:webHidden/>
          </w:rPr>
          <w:tab/>
        </w:r>
        <w:r w:rsidR="006615A9" w:rsidRPr="008D223E">
          <w:rPr>
            <w:rStyle w:val="Hyperlink"/>
            <w:noProof/>
            <w:webHidden/>
          </w:rPr>
          <w:fldChar w:fldCharType="begin"/>
        </w:r>
        <w:r w:rsidR="006615A9" w:rsidRPr="008D223E">
          <w:rPr>
            <w:rStyle w:val="Hyperlink"/>
            <w:noProof/>
            <w:webHidden/>
          </w:rPr>
          <w:instrText xml:space="preserve"> PAGEREF _Toc166165538 \h </w:instrText>
        </w:r>
        <w:r w:rsidR="006615A9" w:rsidRPr="008D223E">
          <w:rPr>
            <w:rStyle w:val="Hyperlink"/>
            <w:noProof/>
            <w:webHidden/>
          </w:rPr>
        </w:r>
        <w:r w:rsidR="006615A9" w:rsidRPr="008D223E">
          <w:rPr>
            <w:rStyle w:val="Hyperlink"/>
            <w:noProof/>
            <w:webHidden/>
          </w:rPr>
          <w:fldChar w:fldCharType="separate"/>
        </w:r>
        <w:r w:rsidR="00ED5ABD">
          <w:rPr>
            <w:rStyle w:val="Hyperlink"/>
            <w:noProof/>
            <w:webHidden/>
          </w:rPr>
          <w:t>333</w:t>
        </w:r>
        <w:r w:rsidR="006615A9" w:rsidRPr="008D223E">
          <w:rPr>
            <w:rStyle w:val="Hyperlink"/>
            <w:noProof/>
            <w:webHidden/>
          </w:rPr>
          <w:fldChar w:fldCharType="end"/>
        </w:r>
      </w:hyperlink>
    </w:p>
    <w:p w14:paraId="24903E4B" w14:textId="431FE167" w:rsidR="006615A9" w:rsidRDefault="00E979BB">
      <w:pPr>
        <w:pStyle w:val="TOC1"/>
        <w:rPr>
          <w:rFonts w:asciiTheme="minorHAnsi" w:eastAsiaTheme="minorEastAsia" w:hAnsiTheme="minorHAnsi" w:cstheme="minorBidi"/>
          <w:b w:val="0"/>
          <w:noProof/>
          <w:kern w:val="2"/>
          <w:sz w:val="22"/>
          <w:szCs w:val="22"/>
          <w14:ligatures w14:val="standardContextual"/>
        </w:rPr>
      </w:pPr>
      <w:hyperlink w:anchor="_Toc166165539" w:history="1">
        <w:r w:rsidR="006615A9" w:rsidRPr="009B6A7B">
          <w:rPr>
            <w:rStyle w:val="Hyperlink"/>
            <w:rFonts w:eastAsia="Arial"/>
            <w:noProof/>
          </w:rPr>
          <w:t>Government loans</w:t>
        </w:r>
        <w:r w:rsidR="006615A9">
          <w:rPr>
            <w:noProof/>
            <w:webHidden/>
          </w:rPr>
          <w:tab/>
        </w:r>
        <w:r w:rsidR="006615A9">
          <w:rPr>
            <w:noProof/>
            <w:webHidden/>
          </w:rPr>
          <w:fldChar w:fldCharType="begin"/>
        </w:r>
        <w:r w:rsidR="006615A9">
          <w:rPr>
            <w:noProof/>
            <w:webHidden/>
          </w:rPr>
          <w:instrText xml:space="preserve"> PAGEREF _Toc166165539 \h </w:instrText>
        </w:r>
        <w:r w:rsidR="006615A9">
          <w:rPr>
            <w:noProof/>
            <w:webHidden/>
          </w:rPr>
        </w:r>
        <w:r w:rsidR="006615A9">
          <w:rPr>
            <w:noProof/>
            <w:webHidden/>
          </w:rPr>
          <w:fldChar w:fldCharType="separate"/>
        </w:r>
        <w:r w:rsidR="00ED5ABD">
          <w:rPr>
            <w:noProof/>
            <w:webHidden/>
          </w:rPr>
          <w:t>334</w:t>
        </w:r>
        <w:r w:rsidR="006615A9">
          <w:rPr>
            <w:noProof/>
            <w:webHidden/>
          </w:rPr>
          <w:fldChar w:fldCharType="end"/>
        </w:r>
      </w:hyperlink>
    </w:p>
    <w:p w14:paraId="4CB28927" w14:textId="433E04D0"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0" w:history="1">
        <w:r w:rsidR="006615A9" w:rsidRPr="009B6A7B">
          <w:rPr>
            <w:rStyle w:val="Hyperlink"/>
            <w:rFonts w:eastAsia="Arial"/>
            <w:noProof/>
          </w:rPr>
          <w:t>Agriculture, Fisheries and Forestry</w:t>
        </w:r>
        <w:r w:rsidR="006615A9">
          <w:rPr>
            <w:noProof/>
            <w:webHidden/>
          </w:rPr>
          <w:tab/>
        </w:r>
        <w:r w:rsidR="006615A9">
          <w:rPr>
            <w:noProof/>
            <w:webHidden/>
          </w:rPr>
          <w:fldChar w:fldCharType="begin"/>
        </w:r>
        <w:r w:rsidR="006615A9">
          <w:rPr>
            <w:noProof/>
            <w:webHidden/>
          </w:rPr>
          <w:instrText xml:space="preserve"> PAGEREF _Toc166165540 \h </w:instrText>
        </w:r>
        <w:r w:rsidR="006615A9">
          <w:rPr>
            <w:noProof/>
            <w:webHidden/>
          </w:rPr>
        </w:r>
        <w:r w:rsidR="006615A9">
          <w:rPr>
            <w:noProof/>
            <w:webHidden/>
          </w:rPr>
          <w:fldChar w:fldCharType="separate"/>
        </w:r>
        <w:r w:rsidR="00ED5ABD">
          <w:rPr>
            <w:noProof/>
            <w:webHidden/>
          </w:rPr>
          <w:t>338</w:t>
        </w:r>
        <w:r w:rsidR="006615A9">
          <w:rPr>
            <w:noProof/>
            <w:webHidden/>
          </w:rPr>
          <w:fldChar w:fldCharType="end"/>
        </w:r>
      </w:hyperlink>
    </w:p>
    <w:p w14:paraId="78448910" w14:textId="133B1911"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1" w:history="1">
        <w:r w:rsidR="006615A9" w:rsidRPr="009B6A7B">
          <w:rPr>
            <w:rStyle w:val="Hyperlink"/>
            <w:rFonts w:eastAsia="Arial"/>
            <w:noProof/>
          </w:rPr>
          <w:t>Climate Change, Energy, the Environment and Water</w:t>
        </w:r>
        <w:r w:rsidR="006615A9">
          <w:rPr>
            <w:noProof/>
            <w:webHidden/>
          </w:rPr>
          <w:tab/>
        </w:r>
        <w:r w:rsidR="006615A9">
          <w:rPr>
            <w:noProof/>
            <w:webHidden/>
          </w:rPr>
          <w:fldChar w:fldCharType="begin"/>
        </w:r>
        <w:r w:rsidR="006615A9">
          <w:rPr>
            <w:noProof/>
            <w:webHidden/>
          </w:rPr>
          <w:instrText xml:space="preserve"> PAGEREF _Toc166165541 \h </w:instrText>
        </w:r>
        <w:r w:rsidR="006615A9">
          <w:rPr>
            <w:noProof/>
            <w:webHidden/>
          </w:rPr>
        </w:r>
        <w:r w:rsidR="006615A9">
          <w:rPr>
            <w:noProof/>
            <w:webHidden/>
          </w:rPr>
          <w:fldChar w:fldCharType="separate"/>
        </w:r>
        <w:r w:rsidR="00ED5ABD">
          <w:rPr>
            <w:noProof/>
            <w:webHidden/>
          </w:rPr>
          <w:t>340</w:t>
        </w:r>
        <w:r w:rsidR="006615A9">
          <w:rPr>
            <w:noProof/>
            <w:webHidden/>
          </w:rPr>
          <w:fldChar w:fldCharType="end"/>
        </w:r>
      </w:hyperlink>
    </w:p>
    <w:p w14:paraId="784B1A3A" w14:textId="1788DDF3" w:rsidR="006615A9" w:rsidRPr="008D223E" w:rsidRDefault="00E979BB" w:rsidP="008D223E">
      <w:pPr>
        <w:pStyle w:val="TOC2"/>
        <w:tabs>
          <w:tab w:val="left" w:leader="dot" w:pos="992"/>
        </w:tabs>
        <w:rPr>
          <w:rStyle w:val="Hyperlink"/>
          <w:rFonts w:eastAsiaTheme="minorEastAsia"/>
          <w:noProof/>
        </w:rPr>
      </w:pPr>
      <w:hyperlink w:anchor="_Toc166165542" w:history="1">
        <w:r w:rsidR="006615A9" w:rsidRPr="008D223E">
          <w:rPr>
            <w:rStyle w:val="Hyperlink"/>
            <w:noProof/>
          </w:rPr>
          <w:t>Education</w:t>
        </w:r>
        <w:r w:rsidR="006615A9" w:rsidRPr="008D223E">
          <w:rPr>
            <w:rStyle w:val="Hyperlink"/>
            <w:noProof/>
            <w:webHidden/>
          </w:rPr>
          <w:tab/>
        </w:r>
        <w:r w:rsidR="008D223E">
          <w:rPr>
            <w:rStyle w:val="Hyperlink"/>
            <w:noProof/>
            <w:webHidden/>
          </w:rPr>
          <w:tab/>
        </w:r>
        <w:r w:rsidR="008D223E">
          <w:rPr>
            <w:rStyle w:val="Hyperlink"/>
            <w:noProof/>
            <w:webHidden/>
          </w:rPr>
          <w:tab/>
        </w:r>
        <w:r w:rsidR="006615A9" w:rsidRPr="008D223E">
          <w:rPr>
            <w:rStyle w:val="Hyperlink"/>
            <w:noProof/>
            <w:webHidden/>
          </w:rPr>
          <w:fldChar w:fldCharType="begin"/>
        </w:r>
        <w:r w:rsidR="006615A9" w:rsidRPr="008D223E">
          <w:rPr>
            <w:rStyle w:val="Hyperlink"/>
            <w:noProof/>
            <w:webHidden/>
          </w:rPr>
          <w:instrText xml:space="preserve"> PAGEREF _Toc166165542 \h </w:instrText>
        </w:r>
        <w:r w:rsidR="006615A9" w:rsidRPr="008D223E">
          <w:rPr>
            <w:rStyle w:val="Hyperlink"/>
            <w:noProof/>
            <w:webHidden/>
          </w:rPr>
        </w:r>
        <w:r w:rsidR="006615A9" w:rsidRPr="008D223E">
          <w:rPr>
            <w:rStyle w:val="Hyperlink"/>
            <w:noProof/>
            <w:webHidden/>
          </w:rPr>
          <w:fldChar w:fldCharType="separate"/>
        </w:r>
        <w:r w:rsidR="00ED5ABD">
          <w:rPr>
            <w:rStyle w:val="Hyperlink"/>
            <w:noProof/>
            <w:webHidden/>
          </w:rPr>
          <w:t>341</w:t>
        </w:r>
        <w:r w:rsidR="006615A9" w:rsidRPr="008D223E">
          <w:rPr>
            <w:rStyle w:val="Hyperlink"/>
            <w:noProof/>
            <w:webHidden/>
          </w:rPr>
          <w:fldChar w:fldCharType="end"/>
        </w:r>
      </w:hyperlink>
    </w:p>
    <w:p w14:paraId="743A272B" w14:textId="3334FA83"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3" w:history="1">
        <w:r w:rsidR="006615A9" w:rsidRPr="009B6A7B">
          <w:rPr>
            <w:rStyle w:val="Hyperlink"/>
            <w:rFonts w:eastAsia="Arial"/>
            <w:noProof/>
          </w:rPr>
          <w:t>Employment and Workplace Relations</w:t>
        </w:r>
        <w:r w:rsidR="006615A9">
          <w:rPr>
            <w:noProof/>
            <w:webHidden/>
          </w:rPr>
          <w:tab/>
        </w:r>
        <w:r w:rsidR="006615A9">
          <w:rPr>
            <w:noProof/>
            <w:webHidden/>
          </w:rPr>
          <w:fldChar w:fldCharType="begin"/>
        </w:r>
        <w:r w:rsidR="006615A9">
          <w:rPr>
            <w:noProof/>
            <w:webHidden/>
          </w:rPr>
          <w:instrText xml:space="preserve"> PAGEREF _Toc166165543 \h </w:instrText>
        </w:r>
        <w:r w:rsidR="006615A9">
          <w:rPr>
            <w:noProof/>
            <w:webHidden/>
          </w:rPr>
        </w:r>
        <w:r w:rsidR="006615A9">
          <w:rPr>
            <w:noProof/>
            <w:webHidden/>
          </w:rPr>
          <w:fldChar w:fldCharType="separate"/>
        </w:r>
        <w:r w:rsidR="00ED5ABD">
          <w:rPr>
            <w:noProof/>
            <w:webHidden/>
          </w:rPr>
          <w:t>341</w:t>
        </w:r>
        <w:r w:rsidR="006615A9">
          <w:rPr>
            <w:noProof/>
            <w:webHidden/>
          </w:rPr>
          <w:fldChar w:fldCharType="end"/>
        </w:r>
      </w:hyperlink>
    </w:p>
    <w:p w14:paraId="75FD7F73" w14:textId="1FB2427F"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4" w:history="1">
        <w:r w:rsidR="006615A9" w:rsidRPr="009B6A7B">
          <w:rPr>
            <w:rStyle w:val="Hyperlink"/>
            <w:rFonts w:eastAsia="Arial"/>
            <w:noProof/>
          </w:rPr>
          <w:t>Foreign Affairs and Trade</w:t>
        </w:r>
        <w:r w:rsidR="006615A9">
          <w:rPr>
            <w:noProof/>
            <w:webHidden/>
          </w:rPr>
          <w:tab/>
        </w:r>
        <w:r w:rsidR="006615A9">
          <w:rPr>
            <w:noProof/>
            <w:webHidden/>
          </w:rPr>
          <w:fldChar w:fldCharType="begin"/>
        </w:r>
        <w:r w:rsidR="006615A9">
          <w:rPr>
            <w:noProof/>
            <w:webHidden/>
          </w:rPr>
          <w:instrText xml:space="preserve"> PAGEREF _Toc166165544 \h </w:instrText>
        </w:r>
        <w:r w:rsidR="006615A9">
          <w:rPr>
            <w:noProof/>
            <w:webHidden/>
          </w:rPr>
        </w:r>
        <w:r w:rsidR="006615A9">
          <w:rPr>
            <w:noProof/>
            <w:webHidden/>
          </w:rPr>
          <w:fldChar w:fldCharType="separate"/>
        </w:r>
        <w:r w:rsidR="00ED5ABD">
          <w:rPr>
            <w:noProof/>
            <w:webHidden/>
          </w:rPr>
          <w:t>342</w:t>
        </w:r>
        <w:r w:rsidR="006615A9">
          <w:rPr>
            <w:noProof/>
            <w:webHidden/>
          </w:rPr>
          <w:fldChar w:fldCharType="end"/>
        </w:r>
      </w:hyperlink>
    </w:p>
    <w:p w14:paraId="190F4F19" w14:textId="6A47B53C"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5" w:history="1">
        <w:r w:rsidR="006615A9" w:rsidRPr="009B6A7B">
          <w:rPr>
            <w:rStyle w:val="Hyperlink"/>
            <w:rFonts w:eastAsia="Arial"/>
            <w:noProof/>
          </w:rPr>
          <w:t>Industry, Science and Resources</w:t>
        </w:r>
        <w:r w:rsidR="006615A9">
          <w:rPr>
            <w:noProof/>
            <w:webHidden/>
          </w:rPr>
          <w:tab/>
        </w:r>
        <w:r w:rsidR="006615A9">
          <w:rPr>
            <w:noProof/>
            <w:webHidden/>
          </w:rPr>
          <w:fldChar w:fldCharType="begin"/>
        </w:r>
        <w:r w:rsidR="006615A9">
          <w:rPr>
            <w:noProof/>
            <w:webHidden/>
          </w:rPr>
          <w:instrText xml:space="preserve"> PAGEREF _Toc166165545 \h </w:instrText>
        </w:r>
        <w:r w:rsidR="006615A9">
          <w:rPr>
            <w:noProof/>
            <w:webHidden/>
          </w:rPr>
        </w:r>
        <w:r w:rsidR="006615A9">
          <w:rPr>
            <w:noProof/>
            <w:webHidden/>
          </w:rPr>
          <w:fldChar w:fldCharType="separate"/>
        </w:r>
        <w:r w:rsidR="00ED5ABD">
          <w:rPr>
            <w:noProof/>
            <w:webHidden/>
          </w:rPr>
          <w:t>343</w:t>
        </w:r>
        <w:r w:rsidR="006615A9">
          <w:rPr>
            <w:noProof/>
            <w:webHidden/>
          </w:rPr>
          <w:fldChar w:fldCharType="end"/>
        </w:r>
      </w:hyperlink>
    </w:p>
    <w:p w14:paraId="7B5A3058" w14:textId="21EBC8D9"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6" w:history="1">
        <w:r w:rsidR="006615A9" w:rsidRPr="009B6A7B">
          <w:rPr>
            <w:rStyle w:val="Hyperlink"/>
            <w:rFonts w:eastAsia="Arial"/>
            <w:noProof/>
          </w:rPr>
          <w:t>Infrastructure, Transport, Regional Development, Communications and the Arts</w:t>
        </w:r>
        <w:r w:rsidR="006615A9">
          <w:rPr>
            <w:noProof/>
            <w:webHidden/>
          </w:rPr>
          <w:tab/>
        </w:r>
        <w:r w:rsidR="006615A9">
          <w:rPr>
            <w:noProof/>
            <w:webHidden/>
          </w:rPr>
          <w:fldChar w:fldCharType="begin"/>
        </w:r>
        <w:r w:rsidR="006615A9">
          <w:rPr>
            <w:noProof/>
            <w:webHidden/>
          </w:rPr>
          <w:instrText xml:space="preserve"> PAGEREF _Toc166165546 \h </w:instrText>
        </w:r>
        <w:r w:rsidR="006615A9">
          <w:rPr>
            <w:noProof/>
            <w:webHidden/>
          </w:rPr>
        </w:r>
        <w:r w:rsidR="006615A9">
          <w:rPr>
            <w:noProof/>
            <w:webHidden/>
          </w:rPr>
          <w:fldChar w:fldCharType="separate"/>
        </w:r>
        <w:r w:rsidR="00ED5ABD">
          <w:rPr>
            <w:noProof/>
            <w:webHidden/>
          </w:rPr>
          <w:t>343</w:t>
        </w:r>
        <w:r w:rsidR="006615A9">
          <w:rPr>
            <w:noProof/>
            <w:webHidden/>
          </w:rPr>
          <w:fldChar w:fldCharType="end"/>
        </w:r>
      </w:hyperlink>
    </w:p>
    <w:p w14:paraId="4DFD9DFF" w14:textId="21E816F9"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7" w:history="1">
        <w:r w:rsidR="006615A9" w:rsidRPr="009B6A7B">
          <w:rPr>
            <w:rStyle w:val="Hyperlink"/>
            <w:rFonts w:eastAsia="Arial"/>
            <w:noProof/>
          </w:rPr>
          <w:t>Prime Minister and Cabinet</w:t>
        </w:r>
        <w:r w:rsidR="006615A9">
          <w:rPr>
            <w:noProof/>
            <w:webHidden/>
          </w:rPr>
          <w:tab/>
        </w:r>
        <w:r w:rsidR="006615A9">
          <w:rPr>
            <w:noProof/>
            <w:webHidden/>
          </w:rPr>
          <w:fldChar w:fldCharType="begin"/>
        </w:r>
        <w:r w:rsidR="006615A9">
          <w:rPr>
            <w:noProof/>
            <w:webHidden/>
          </w:rPr>
          <w:instrText xml:space="preserve"> PAGEREF _Toc166165547 \h </w:instrText>
        </w:r>
        <w:r w:rsidR="006615A9">
          <w:rPr>
            <w:noProof/>
            <w:webHidden/>
          </w:rPr>
        </w:r>
        <w:r w:rsidR="006615A9">
          <w:rPr>
            <w:noProof/>
            <w:webHidden/>
          </w:rPr>
          <w:fldChar w:fldCharType="separate"/>
        </w:r>
        <w:r w:rsidR="00ED5ABD">
          <w:rPr>
            <w:noProof/>
            <w:webHidden/>
          </w:rPr>
          <w:t>344</w:t>
        </w:r>
        <w:r w:rsidR="006615A9">
          <w:rPr>
            <w:noProof/>
            <w:webHidden/>
          </w:rPr>
          <w:fldChar w:fldCharType="end"/>
        </w:r>
      </w:hyperlink>
    </w:p>
    <w:p w14:paraId="15A32D8F" w14:textId="4A000299" w:rsidR="006615A9" w:rsidRDefault="00E979BB">
      <w:pPr>
        <w:pStyle w:val="TOC2"/>
        <w:rPr>
          <w:rFonts w:asciiTheme="minorHAnsi" w:eastAsiaTheme="minorEastAsia" w:hAnsiTheme="minorHAnsi" w:cstheme="minorBidi"/>
          <w:noProof/>
          <w:kern w:val="2"/>
          <w:sz w:val="22"/>
          <w:szCs w:val="22"/>
          <w14:ligatures w14:val="standardContextual"/>
        </w:rPr>
      </w:pPr>
      <w:hyperlink w:anchor="_Toc166165548" w:history="1">
        <w:r w:rsidR="006615A9" w:rsidRPr="009B6A7B">
          <w:rPr>
            <w:rStyle w:val="Hyperlink"/>
            <w:rFonts w:eastAsia="Arial"/>
            <w:noProof/>
          </w:rPr>
          <w:t>Social Services</w:t>
        </w:r>
        <w:r w:rsidR="006615A9">
          <w:rPr>
            <w:noProof/>
            <w:webHidden/>
          </w:rPr>
          <w:tab/>
        </w:r>
        <w:r w:rsidR="006615A9">
          <w:rPr>
            <w:noProof/>
            <w:webHidden/>
          </w:rPr>
          <w:fldChar w:fldCharType="begin"/>
        </w:r>
        <w:r w:rsidR="006615A9">
          <w:rPr>
            <w:noProof/>
            <w:webHidden/>
          </w:rPr>
          <w:instrText xml:space="preserve"> PAGEREF _Toc166165548 \h </w:instrText>
        </w:r>
        <w:r w:rsidR="006615A9">
          <w:rPr>
            <w:noProof/>
            <w:webHidden/>
          </w:rPr>
        </w:r>
        <w:r w:rsidR="006615A9">
          <w:rPr>
            <w:noProof/>
            <w:webHidden/>
          </w:rPr>
          <w:fldChar w:fldCharType="separate"/>
        </w:r>
        <w:r w:rsidR="00ED5ABD">
          <w:rPr>
            <w:noProof/>
            <w:webHidden/>
          </w:rPr>
          <w:t>345</w:t>
        </w:r>
        <w:r w:rsidR="006615A9">
          <w:rPr>
            <w:noProof/>
            <w:webHidden/>
          </w:rPr>
          <w:fldChar w:fldCharType="end"/>
        </w:r>
      </w:hyperlink>
    </w:p>
    <w:p w14:paraId="30178C56" w14:textId="63637866" w:rsidR="006615A9" w:rsidRPr="008D223E" w:rsidRDefault="00E979BB" w:rsidP="008D223E">
      <w:pPr>
        <w:pStyle w:val="TOC2"/>
        <w:tabs>
          <w:tab w:val="left" w:leader="dot" w:pos="992"/>
        </w:tabs>
        <w:rPr>
          <w:rStyle w:val="Hyperlink"/>
          <w:rFonts w:eastAsia="Arial"/>
          <w:noProof/>
        </w:rPr>
      </w:pPr>
      <w:hyperlink w:anchor="_Toc166165549" w:history="1">
        <w:r w:rsidR="006615A9" w:rsidRPr="009B6A7B">
          <w:rPr>
            <w:rStyle w:val="Hyperlink"/>
            <w:rFonts w:eastAsia="Arial"/>
            <w:noProof/>
          </w:rPr>
          <w:t>Treasury</w:t>
        </w:r>
        <w:r w:rsidR="008D223E">
          <w:rPr>
            <w:rStyle w:val="Hyperlink"/>
            <w:rFonts w:eastAsia="Arial"/>
            <w:noProof/>
          </w:rPr>
          <w:tab/>
        </w:r>
        <w:r w:rsidR="008D223E">
          <w:rPr>
            <w:rStyle w:val="Hyperlink"/>
            <w:rFonts w:eastAsia="Arial"/>
            <w:noProof/>
          </w:rPr>
          <w:tab/>
        </w:r>
        <w:r w:rsidR="008D223E">
          <w:rPr>
            <w:rStyle w:val="Hyperlink"/>
            <w:rFonts w:eastAsia="Arial"/>
            <w:noProof/>
          </w:rPr>
          <w:tab/>
        </w:r>
        <w:r w:rsidR="006615A9" w:rsidRPr="008D223E">
          <w:rPr>
            <w:rStyle w:val="Hyperlink"/>
            <w:rFonts w:eastAsia="Arial"/>
            <w:noProof/>
            <w:webHidden/>
          </w:rPr>
          <w:fldChar w:fldCharType="begin"/>
        </w:r>
        <w:r w:rsidR="006615A9" w:rsidRPr="008D223E">
          <w:rPr>
            <w:rStyle w:val="Hyperlink"/>
            <w:rFonts w:eastAsia="Arial"/>
            <w:noProof/>
            <w:webHidden/>
          </w:rPr>
          <w:instrText xml:space="preserve"> PAGEREF _Toc166165549 \h </w:instrText>
        </w:r>
        <w:r w:rsidR="006615A9" w:rsidRPr="008D223E">
          <w:rPr>
            <w:rStyle w:val="Hyperlink"/>
            <w:rFonts w:eastAsia="Arial"/>
            <w:noProof/>
            <w:webHidden/>
          </w:rPr>
        </w:r>
        <w:r w:rsidR="006615A9" w:rsidRPr="008D223E">
          <w:rPr>
            <w:rStyle w:val="Hyperlink"/>
            <w:rFonts w:eastAsia="Arial"/>
            <w:noProof/>
            <w:webHidden/>
          </w:rPr>
          <w:fldChar w:fldCharType="separate"/>
        </w:r>
        <w:r w:rsidR="00ED5ABD">
          <w:rPr>
            <w:rStyle w:val="Hyperlink"/>
            <w:rFonts w:eastAsia="Arial"/>
            <w:noProof/>
            <w:webHidden/>
          </w:rPr>
          <w:t>346</w:t>
        </w:r>
        <w:r w:rsidR="006615A9" w:rsidRPr="008D223E">
          <w:rPr>
            <w:rStyle w:val="Hyperlink"/>
            <w:rFonts w:eastAsia="Arial"/>
            <w:noProof/>
            <w:webHidden/>
          </w:rPr>
          <w:fldChar w:fldCharType="end"/>
        </w:r>
      </w:hyperlink>
    </w:p>
    <w:p w14:paraId="76F324F8" w14:textId="126F7A5D" w:rsidR="009D70F5" w:rsidRPr="00B832E0" w:rsidRDefault="009D70F5" w:rsidP="009D70F5">
      <w:pPr>
        <w:sectPr w:rsidR="009D70F5" w:rsidRPr="00B832E0" w:rsidSect="007F4042">
          <w:headerReference w:type="even" r:id="rId16"/>
          <w:headerReference w:type="default" r:id="rId17"/>
          <w:footerReference w:type="even" r:id="rId18"/>
          <w:headerReference w:type="first" r:id="rId19"/>
          <w:footerReference w:type="first" r:id="rId20"/>
          <w:type w:val="oddPage"/>
          <w:pgSz w:w="11907" w:h="16840" w:code="9"/>
          <w:pgMar w:top="2835" w:right="2098" w:bottom="2466" w:left="2098" w:header="1814" w:footer="1814" w:gutter="0"/>
          <w:cols w:space="708"/>
          <w:titlePg/>
          <w:docGrid w:linePitch="360"/>
        </w:sectPr>
      </w:pPr>
      <w:r w:rsidRPr="00B832E0">
        <w:rPr>
          <w:noProof/>
          <w:lang w:val="en-US"/>
        </w:rPr>
        <w:fldChar w:fldCharType="end"/>
      </w:r>
    </w:p>
    <w:p w14:paraId="68DE4317" w14:textId="77777777" w:rsidR="009D70F5" w:rsidRPr="00B832E0" w:rsidRDefault="009D70F5" w:rsidP="009D70F5">
      <w:pPr>
        <w:pStyle w:val="Heading1"/>
        <w:rPr>
          <w:rFonts w:eastAsia="Book Antiqua"/>
        </w:rPr>
      </w:pPr>
      <w:r w:rsidRPr="00B832E0">
        <w:rPr>
          <w:rFonts w:eastAsia="Book Antiqua"/>
        </w:rPr>
        <w:lastRenderedPageBreak/>
        <w:t>Statement 9: Statement of Risks</w:t>
      </w:r>
    </w:p>
    <w:p w14:paraId="31C0B315" w14:textId="77777777" w:rsidR="009D70F5" w:rsidRPr="00B832E0" w:rsidRDefault="009D70F5" w:rsidP="009D70F5">
      <w:pPr>
        <w:pStyle w:val="Heading2"/>
        <w:rPr>
          <w:rFonts w:eastAsia="Arial"/>
        </w:rPr>
      </w:pPr>
      <w:bookmarkStart w:id="0" w:name="Statement_8:_Statement_of_Risks"/>
      <w:bookmarkStart w:id="1" w:name="_Toc71117767"/>
      <w:bookmarkStart w:id="2" w:name="_Toc99141849"/>
      <w:bookmarkStart w:id="3" w:name="_Toc166165482"/>
      <w:bookmarkEnd w:id="0"/>
      <w:r w:rsidRPr="00B832E0">
        <w:rPr>
          <w:rFonts w:eastAsia="Arial"/>
        </w:rPr>
        <w:t>Risks to the Budget – Overview</w:t>
      </w:r>
      <w:bookmarkEnd w:id="1"/>
      <w:bookmarkEnd w:id="2"/>
      <w:bookmarkEnd w:id="3"/>
    </w:p>
    <w:p w14:paraId="4632399A" w14:textId="77777777" w:rsidR="00EF6EB0" w:rsidRPr="00B832E0" w:rsidRDefault="00EF6EB0" w:rsidP="00EF6EB0">
      <w:pPr>
        <w:rPr>
          <w:rFonts w:eastAsia="Book Antiqua"/>
        </w:rPr>
      </w:pPr>
      <w:bookmarkStart w:id="4" w:name="_Hlk148959386"/>
      <w:r w:rsidRPr="00B832E0">
        <w:rPr>
          <w:rFonts w:eastAsia="Book Antiqua"/>
        </w:rPr>
        <w:t>The forward estimates of revenue and expenses in the </w:t>
      </w:r>
      <w:r w:rsidRPr="00547401">
        <w:rPr>
          <w:rFonts w:eastAsia="Book Antiqua"/>
        </w:rPr>
        <w:t>2024–25 Budget</w:t>
      </w:r>
      <w:r w:rsidRPr="0074710E">
        <w:rPr>
          <w:rFonts w:eastAsia="Book Antiqua"/>
        </w:rPr>
        <w:t xml:space="preserve"> </w:t>
      </w:r>
      <w:r w:rsidRPr="00B832E0">
        <w:rPr>
          <w:rFonts w:eastAsia="Book Antiqua"/>
        </w:rPr>
        <w:t>incorporate assumptions and judgments based on the best information available at the time of publication, together with a range of economic assumptions and other forecasts and projections.</w:t>
      </w:r>
    </w:p>
    <w:p w14:paraId="0FD8A124" w14:textId="77777777" w:rsidR="00EF6EB0" w:rsidRPr="00B832E0" w:rsidRDefault="00EF6EB0" w:rsidP="00EF6EB0">
      <w:pPr>
        <w:rPr>
          <w:rFonts w:eastAsia="Book Antiqua"/>
        </w:rPr>
      </w:pPr>
      <w:r w:rsidRPr="00B832E0">
        <w:rPr>
          <w:rFonts w:eastAsia="Book Antiqua"/>
        </w:rPr>
        <w:t>Events that could affect fiscal outcomes include:</w:t>
      </w:r>
    </w:p>
    <w:p w14:paraId="04AA8D8A" w14:textId="4D16315A" w:rsidR="00EF6EB0" w:rsidRPr="008503C8" w:rsidRDefault="00EF6EB0" w:rsidP="008503C8">
      <w:pPr>
        <w:pStyle w:val="Bullet"/>
        <w:rPr>
          <w:rFonts w:eastAsia="Arial"/>
        </w:rPr>
      </w:pPr>
      <w:r w:rsidRPr="008503C8">
        <w:rPr>
          <w:rFonts w:eastAsia="Arial"/>
        </w:rPr>
        <w:t>changes in economic and other parameters, which may be driven by the evolution of</w:t>
      </w:r>
      <w:r w:rsidR="008503C8">
        <w:rPr>
          <w:rFonts w:eastAsia="Arial"/>
        </w:rPr>
        <w:t> </w:t>
      </w:r>
      <w:r w:rsidRPr="008503C8">
        <w:rPr>
          <w:rFonts w:eastAsia="Arial"/>
        </w:rPr>
        <w:t>and responses to domestic and global inflationary pressures, volatility in global commodity prices, further global instability stemming from conflicts in Europe and the</w:t>
      </w:r>
      <w:r w:rsidR="00257C2A" w:rsidRPr="008503C8">
        <w:rPr>
          <w:rFonts w:eastAsia="Arial"/>
        </w:rPr>
        <w:t> </w:t>
      </w:r>
      <w:r w:rsidRPr="008503C8">
        <w:rPr>
          <w:rFonts w:eastAsia="Arial"/>
        </w:rPr>
        <w:t>Middle East, and the challenges associated with the transition towards net zero emissions</w:t>
      </w:r>
    </w:p>
    <w:p w14:paraId="1E04A819" w14:textId="1FA9B875" w:rsidR="00EF6EB0" w:rsidRPr="008503C8" w:rsidRDefault="00EF6EB0" w:rsidP="008503C8">
      <w:pPr>
        <w:pStyle w:val="Bullet"/>
        <w:rPr>
          <w:rFonts w:eastAsia="Arial"/>
        </w:rPr>
      </w:pPr>
      <w:r w:rsidRPr="008503C8">
        <w:rPr>
          <w:rFonts w:eastAsia="Arial"/>
        </w:rPr>
        <w:t>matters not included in the fiscal forecasts because of uncertainty about their timing, magnitude or likelihood</w:t>
      </w:r>
    </w:p>
    <w:p w14:paraId="33B18D11" w14:textId="77777777" w:rsidR="00EF6EB0" w:rsidRPr="008503C8" w:rsidRDefault="00EF6EB0" w:rsidP="008503C8">
      <w:pPr>
        <w:pStyle w:val="Bullet"/>
        <w:rPr>
          <w:rFonts w:eastAsia="Arial"/>
        </w:rPr>
      </w:pPr>
      <w:r w:rsidRPr="008503C8">
        <w:rPr>
          <w:rFonts w:eastAsia="Arial"/>
        </w:rPr>
        <w:t>the realisation of contingent liabilities or assets</w:t>
      </w:r>
      <w:r w:rsidRPr="00CC5694">
        <w:rPr>
          <w:rFonts w:eastAsia="Arial"/>
        </w:rPr>
        <w:t>.</w:t>
      </w:r>
    </w:p>
    <w:p w14:paraId="3D7D91AE" w14:textId="77777777" w:rsidR="00EF6EB0" w:rsidRPr="0013788C" w:rsidRDefault="00EF6EB0" w:rsidP="008503C8">
      <w:pPr>
        <w:rPr>
          <w:rFonts w:eastAsia="Book Antiqua"/>
          <w:i/>
        </w:rPr>
      </w:pPr>
      <w:r w:rsidRPr="00B832E0">
        <w:rPr>
          <w:rFonts w:eastAsia="Book Antiqua"/>
        </w:rPr>
        <w:t xml:space="preserve">The revenue and expense estimates and projections published in the </w:t>
      </w:r>
      <w:r w:rsidRPr="00F37D84">
        <w:rPr>
          <w:rFonts w:eastAsia="Book Antiqua"/>
        </w:rPr>
        <w:t xml:space="preserve">2024–25 </w:t>
      </w:r>
      <w:r>
        <w:rPr>
          <w:rFonts w:eastAsia="Book Antiqua"/>
        </w:rPr>
        <w:t>Budget</w:t>
      </w:r>
      <w:r w:rsidRPr="00B832E0">
        <w:rPr>
          <w:rFonts w:eastAsia="Book Antiqua"/>
        </w:rPr>
        <w:t xml:space="preserve"> are based on a range of economic and </w:t>
      </w:r>
      <w:r w:rsidRPr="00814F8F">
        <w:rPr>
          <w:rFonts w:eastAsia="Book Antiqua"/>
        </w:rPr>
        <w:t xml:space="preserve">other parameters that are consistent with the domestic and international outlook </w:t>
      </w:r>
      <w:r w:rsidRPr="0068450B">
        <w:rPr>
          <w:rFonts w:eastAsia="Book Antiqua"/>
        </w:rPr>
        <w:t xml:space="preserve">detailed </w:t>
      </w:r>
      <w:r w:rsidRPr="00F67D6D">
        <w:rPr>
          <w:rFonts w:eastAsia="Book Antiqua"/>
        </w:rPr>
        <w:t>in</w:t>
      </w:r>
      <w:r>
        <w:rPr>
          <w:rFonts w:eastAsia="Book Antiqua"/>
        </w:rPr>
        <w:t xml:space="preserve"> </w:t>
      </w:r>
      <w:r w:rsidRPr="00BB7692">
        <w:rPr>
          <w:rFonts w:eastAsia="Book Antiqua"/>
          <w:i/>
          <w:iCs/>
        </w:rPr>
        <w:t>Budget</w:t>
      </w:r>
      <w:r w:rsidRPr="00F67D6D">
        <w:rPr>
          <w:rFonts w:eastAsia="Book Antiqua"/>
        </w:rPr>
        <w:t xml:space="preserve"> </w:t>
      </w:r>
      <w:r w:rsidRPr="00F67D6D">
        <w:rPr>
          <w:rFonts w:eastAsia="Book Antiqua"/>
          <w:i/>
        </w:rPr>
        <w:t>Statement 2: Economic Outlook</w:t>
      </w:r>
      <w:r w:rsidRPr="00F67D6D">
        <w:rPr>
          <w:rFonts w:eastAsia="Book Antiqua"/>
        </w:rPr>
        <w:t>.</w:t>
      </w:r>
      <w:r w:rsidRPr="0068450B">
        <w:rPr>
          <w:rFonts w:eastAsia="Book Antiqua"/>
        </w:rPr>
        <w:t xml:space="preserve"> Economic outcomes that differ from the parameters used in the </w:t>
      </w:r>
      <w:r w:rsidRPr="00F37D84">
        <w:rPr>
          <w:rFonts w:eastAsia="Book Antiqua"/>
        </w:rPr>
        <w:t>Budget</w:t>
      </w:r>
      <w:r w:rsidRPr="0068450B">
        <w:rPr>
          <w:rFonts w:eastAsia="Book Antiqua"/>
        </w:rPr>
        <w:t xml:space="preserve"> represent a material risk to the </w:t>
      </w:r>
      <w:r w:rsidRPr="00F37D84">
        <w:rPr>
          <w:rFonts w:eastAsia="Book Antiqua"/>
        </w:rPr>
        <w:t>Budget</w:t>
      </w:r>
      <w:r w:rsidRPr="0068450B">
        <w:rPr>
          <w:rFonts w:eastAsia="Book Antiqua"/>
        </w:rPr>
        <w:t xml:space="preserve"> </w:t>
      </w:r>
      <w:r w:rsidRPr="00A84B9A">
        <w:rPr>
          <w:rFonts w:eastAsia="Book Antiqua"/>
        </w:rPr>
        <w:t xml:space="preserve">estimates. </w:t>
      </w:r>
      <w:r w:rsidRPr="00577DDD">
        <w:rPr>
          <w:rFonts w:eastAsia="Book Antiqua"/>
          <w:i/>
          <w:iCs/>
        </w:rPr>
        <w:t>Budget</w:t>
      </w:r>
      <w:r w:rsidRPr="00577DDD">
        <w:rPr>
          <w:rFonts w:eastAsia="Book Antiqua"/>
        </w:rPr>
        <w:t xml:space="preserve"> </w:t>
      </w:r>
      <w:r w:rsidRPr="00577DDD">
        <w:rPr>
          <w:rFonts w:eastAsia="Book Antiqua"/>
          <w:i/>
        </w:rPr>
        <w:t xml:space="preserve">Statement </w:t>
      </w:r>
      <w:r>
        <w:rPr>
          <w:rFonts w:eastAsia="Book Antiqua"/>
          <w:i/>
        </w:rPr>
        <w:t>8</w:t>
      </w:r>
      <w:r w:rsidRPr="00577DDD">
        <w:rPr>
          <w:rFonts w:eastAsia="Book Antiqua"/>
          <w:i/>
        </w:rPr>
        <w:t xml:space="preserve">: </w:t>
      </w:r>
      <w:r>
        <w:rPr>
          <w:rFonts w:eastAsia="Book Antiqua"/>
          <w:i/>
        </w:rPr>
        <w:t>F</w:t>
      </w:r>
      <w:r w:rsidRPr="0013788C">
        <w:rPr>
          <w:rFonts w:eastAsia="Book Antiqua"/>
          <w:i/>
        </w:rPr>
        <w:t xml:space="preserve">orecasting Performance &amp; Sensitivity Analysis </w:t>
      </w:r>
      <w:r w:rsidRPr="00577DDD">
        <w:rPr>
          <w:rFonts w:eastAsia="Book Antiqua"/>
        </w:rPr>
        <w:t>examines the impact on receipts and payments of altering some of the key economic</w:t>
      </w:r>
      <w:r w:rsidRPr="0068450B">
        <w:rPr>
          <w:rFonts w:eastAsia="Book Antiqua"/>
        </w:rPr>
        <w:t xml:space="preserve"> assumptions</w:t>
      </w:r>
      <w:r w:rsidRPr="00B832E0">
        <w:rPr>
          <w:rFonts w:eastAsia="Book Antiqua"/>
        </w:rPr>
        <w:t xml:space="preserve"> underlying the </w:t>
      </w:r>
      <w:r w:rsidRPr="00F37D84">
        <w:rPr>
          <w:rFonts w:eastAsia="Book Antiqua"/>
        </w:rPr>
        <w:t>Budget</w:t>
      </w:r>
      <w:r w:rsidRPr="00B832E0">
        <w:rPr>
          <w:rFonts w:eastAsia="Book Antiqua"/>
        </w:rPr>
        <w:t xml:space="preserve"> estimates.</w:t>
      </w:r>
    </w:p>
    <w:p w14:paraId="154A8526" w14:textId="3071F90C" w:rsidR="00EF6EB0" w:rsidRPr="00B832E0" w:rsidRDefault="00EF6EB0" w:rsidP="008503C8">
      <w:pPr>
        <w:rPr>
          <w:rFonts w:eastAsia="Book Antiqua"/>
        </w:rPr>
      </w:pPr>
      <w:r w:rsidRPr="00B832E0">
        <w:rPr>
          <w:rFonts w:eastAsia="Book Antiqua"/>
        </w:rPr>
        <w:t>A significant portion of government expenditure is for demand</w:t>
      </w:r>
      <w:r w:rsidR="00D737F9">
        <w:rPr>
          <w:rFonts w:eastAsia="Book Antiqua"/>
        </w:rPr>
        <w:noBreakHyphen/>
      </w:r>
      <w:r w:rsidRPr="00B832E0">
        <w:rPr>
          <w:rFonts w:eastAsia="Book Antiqua"/>
        </w:rPr>
        <w:t>driven programs. Outcomes for these programs could differ from the estimates and projections due to changes in economic outcomes, particularly for inflation and wages growth. For a number of demand</w:t>
      </w:r>
      <w:r w:rsidR="00D737F9">
        <w:rPr>
          <w:rFonts w:eastAsia="Book Antiqua"/>
        </w:rPr>
        <w:noBreakHyphen/>
      </w:r>
      <w:r w:rsidRPr="00B832E0">
        <w:rPr>
          <w:rFonts w:eastAsia="Book Antiqua"/>
        </w:rPr>
        <w:t>driven support programs, including the National Disability Insurance Scheme, aged care programs and health programs, outcomes depend on the wide range of factors that affect the take</w:t>
      </w:r>
      <w:r w:rsidR="00D737F9">
        <w:rPr>
          <w:rFonts w:eastAsia="Book Antiqua"/>
        </w:rPr>
        <w:noBreakHyphen/>
      </w:r>
      <w:r w:rsidRPr="00B832E0">
        <w:rPr>
          <w:rFonts w:eastAsia="Book Antiqua"/>
        </w:rPr>
        <w:t>up of and cost of these programs.</w:t>
      </w:r>
    </w:p>
    <w:p w14:paraId="66E2BA79" w14:textId="77777777" w:rsidR="00EF6EB0" w:rsidRPr="00B832E0" w:rsidRDefault="00EF6EB0" w:rsidP="008503C8">
      <w:pPr>
        <w:rPr>
          <w:rFonts w:eastAsia="Book Antiqua"/>
        </w:rPr>
      </w:pPr>
      <w:r w:rsidRPr="00B832E0">
        <w:rPr>
          <w:rFonts w:eastAsia="Book Antiqua"/>
        </w:rPr>
        <w:t>Revenue forecasting relies heavily on the observed relationships between the economy, tax bases and tax revenues. Such relationships may shift over time as the economy changes, presenting further risk to the estimates. For example, the ability of entities to use tax losses to offset profits may continue to pose heightened challenges in estimating the profile for company and resource tax receipts. Revenue forecasts also incorporate costings for new policies that typically involve a degree of uncertainty.</w:t>
      </w:r>
    </w:p>
    <w:p w14:paraId="2318B297" w14:textId="244C95EF" w:rsidR="00EF6EB0" w:rsidRPr="00B832E0" w:rsidRDefault="00EF6EB0" w:rsidP="008503C8">
      <w:pPr>
        <w:rPr>
          <w:rFonts w:eastAsia="Book Antiqua"/>
        </w:rPr>
      </w:pPr>
      <w:r w:rsidRPr="00B832E0">
        <w:rPr>
          <w:rFonts w:eastAsia="Book Antiqua"/>
        </w:rPr>
        <w:t xml:space="preserve">The estimates and projections of revenue are also subject to general risks that can affect taxation collections. These </w:t>
      </w:r>
      <w:r>
        <w:rPr>
          <w:rFonts w:eastAsia="Book Antiqua"/>
        </w:rPr>
        <w:t>risks</w:t>
      </w:r>
      <w:r w:rsidRPr="00B832E0">
        <w:rPr>
          <w:rFonts w:eastAsia="Book Antiqua"/>
        </w:rPr>
        <w:t xml:space="preserve"> include the ability of the tax system to keep pace with changes in the business environment, </w:t>
      </w:r>
      <w:r>
        <w:rPr>
          <w:rFonts w:eastAsia="Book Antiqua"/>
        </w:rPr>
        <w:t xml:space="preserve">the potential for </w:t>
      </w:r>
      <w:r w:rsidRPr="00B832E0">
        <w:rPr>
          <w:rFonts w:eastAsia="Book Antiqua"/>
        </w:rPr>
        <w:t xml:space="preserve">tax avoidance, </w:t>
      </w:r>
      <w:r>
        <w:rPr>
          <w:rFonts w:eastAsia="Book Antiqua"/>
        </w:rPr>
        <w:t xml:space="preserve">pending </w:t>
      </w:r>
      <w:r w:rsidRPr="00B832E0">
        <w:rPr>
          <w:rFonts w:eastAsia="Book Antiqua"/>
        </w:rPr>
        <w:t xml:space="preserve">court </w:t>
      </w:r>
      <w:r w:rsidRPr="00B832E0">
        <w:rPr>
          <w:rFonts w:eastAsia="Book Antiqua"/>
        </w:rPr>
        <w:lastRenderedPageBreak/>
        <w:t xml:space="preserve">decisions and Australian Taxation Office rulings, and the </w:t>
      </w:r>
      <w:r>
        <w:rPr>
          <w:rFonts w:eastAsia="Book Antiqua"/>
        </w:rPr>
        <w:t xml:space="preserve">uncertain </w:t>
      </w:r>
      <w:r w:rsidRPr="00B832E0">
        <w:rPr>
          <w:rFonts w:eastAsia="Book Antiqua"/>
        </w:rPr>
        <w:t>outcome</w:t>
      </w:r>
      <w:r>
        <w:rPr>
          <w:rFonts w:eastAsia="Book Antiqua"/>
        </w:rPr>
        <w:t>s</w:t>
      </w:r>
      <w:r w:rsidRPr="00B832E0">
        <w:rPr>
          <w:rFonts w:eastAsia="Book Antiqua"/>
        </w:rPr>
        <w:t xml:space="preserve"> of compliance programs. The</w:t>
      </w:r>
      <w:r>
        <w:rPr>
          <w:rFonts w:eastAsia="Book Antiqua"/>
        </w:rPr>
        <w:t xml:space="preserve"> manifestation of these risks</w:t>
      </w:r>
      <w:r w:rsidRPr="00B832E0">
        <w:rPr>
          <w:rFonts w:eastAsia="Book Antiqua"/>
        </w:rPr>
        <w:t xml:space="preserve"> may result in a shift in the composition of taxation collected from the various tax bases or a change in the size of the</w:t>
      </w:r>
      <w:r w:rsidR="00087744">
        <w:rPr>
          <w:rFonts w:eastAsia="Book Antiqua"/>
        </w:rPr>
        <w:t> </w:t>
      </w:r>
      <w:r w:rsidRPr="00B832E0">
        <w:rPr>
          <w:rFonts w:eastAsia="Book Antiqua"/>
        </w:rPr>
        <w:t>tax base.</w:t>
      </w:r>
    </w:p>
    <w:p w14:paraId="0587FD49" w14:textId="77777777" w:rsidR="00EF6EB0" w:rsidRPr="00B832E0" w:rsidRDefault="00EF6EB0" w:rsidP="008503C8">
      <w:pPr>
        <w:rPr>
          <w:rFonts w:eastAsia="Book Antiqua"/>
        </w:rPr>
      </w:pPr>
      <w:r w:rsidRPr="00B832E0">
        <w:rPr>
          <w:rFonts w:eastAsia="Book Antiqua"/>
        </w:rPr>
        <w:t xml:space="preserve">Many agencies rely on external revenue to fund the delivery of some of their services. Estimates included in the </w:t>
      </w:r>
      <w:r w:rsidRPr="00F37D84">
        <w:rPr>
          <w:rFonts w:eastAsia="Book Antiqua"/>
        </w:rPr>
        <w:t>Budget</w:t>
      </w:r>
      <w:r w:rsidRPr="00B832E0">
        <w:rPr>
          <w:rFonts w:eastAsia="Book Antiqua"/>
        </w:rPr>
        <w:t xml:space="preserve"> for these agencies reflect the latest information </w:t>
      </w:r>
      <w:r>
        <w:rPr>
          <w:rFonts w:eastAsia="Book Antiqua"/>
        </w:rPr>
        <w:t>about</w:t>
      </w:r>
      <w:r w:rsidRPr="00B832E0">
        <w:rPr>
          <w:rFonts w:eastAsia="Book Antiqua"/>
        </w:rPr>
        <w:t xml:space="preserve"> the likely </w:t>
      </w:r>
      <w:r>
        <w:rPr>
          <w:rFonts w:eastAsia="Book Antiqua"/>
        </w:rPr>
        <w:t>amount</w:t>
      </w:r>
      <w:r w:rsidRPr="00B832E0">
        <w:rPr>
          <w:rFonts w:eastAsia="Book Antiqua"/>
        </w:rPr>
        <w:t xml:space="preserve"> of external revenue they will raise. </w:t>
      </w:r>
      <w:r>
        <w:rPr>
          <w:rFonts w:eastAsia="Book Antiqua"/>
        </w:rPr>
        <w:t xml:space="preserve">The </w:t>
      </w:r>
      <w:r w:rsidRPr="00B832E0">
        <w:rPr>
          <w:rFonts w:eastAsia="Book Antiqua"/>
        </w:rPr>
        <w:t xml:space="preserve">external revenue </w:t>
      </w:r>
      <w:r>
        <w:rPr>
          <w:rFonts w:eastAsia="Book Antiqua"/>
        </w:rPr>
        <w:t>actually collected is</w:t>
      </w:r>
      <w:r w:rsidRPr="00B832E0">
        <w:rPr>
          <w:rFonts w:eastAsia="Book Antiqua"/>
        </w:rPr>
        <w:t xml:space="preserve"> not certain and depend</w:t>
      </w:r>
      <w:r>
        <w:rPr>
          <w:rFonts w:eastAsia="Book Antiqua"/>
        </w:rPr>
        <w:t>s</w:t>
      </w:r>
      <w:r w:rsidRPr="00B832E0">
        <w:rPr>
          <w:rFonts w:eastAsia="Book Antiqua"/>
        </w:rPr>
        <w:t xml:space="preserve"> on some common factors, including economic conditions, which can affect estimates for individual agencies and for the Budget as a whole. </w:t>
      </w:r>
    </w:p>
    <w:p w14:paraId="4D0C965C" w14:textId="77777777" w:rsidR="00EF6EB0" w:rsidRPr="00B832E0" w:rsidRDefault="00EF6EB0" w:rsidP="008503C8">
      <w:pPr>
        <w:rPr>
          <w:rFonts w:eastAsia="Book Antiqua"/>
        </w:rPr>
      </w:pPr>
      <w:r w:rsidRPr="00B832E0">
        <w:rPr>
          <w:rFonts w:eastAsia="Book Antiqua"/>
        </w:rPr>
        <w:t xml:space="preserve">The forward estimates in the </w:t>
      </w:r>
      <w:r w:rsidRPr="00F37D84">
        <w:rPr>
          <w:rFonts w:eastAsia="Book Antiqua"/>
        </w:rPr>
        <w:t>Budget</w:t>
      </w:r>
      <w:r w:rsidRPr="00B832E0">
        <w:rPr>
          <w:rFonts w:eastAsia="Book Antiqua"/>
        </w:rPr>
        <w:t xml:space="preserve"> include the impact of all policy decisions, including those that remain unlegislated. </w:t>
      </w:r>
      <w:r>
        <w:rPr>
          <w:rFonts w:eastAsia="Book Antiqua"/>
        </w:rPr>
        <w:t>T</w:t>
      </w:r>
      <w:r w:rsidRPr="00B832E0">
        <w:rPr>
          <w:rFonts w:eastAsia="Book Antiqua"/>
        </w:rPr>
        <w:t xml:space="preserve">here is a risk of a variation to the fiscal position outlined in the </w:t>
      </w:r>
      <w:r w:rsidRPr="00F37D84">
        <w:rPr>
          <w:rFonts w:eastAsia="Book Antiqua"/>
        </w:rPr>
        <w:t>Budget</w:t>
      </w:r>
      <w:r>
        <w:rPr>
          <w:rFonts w:eastAsia="Book Antiqua"/>
        </w:rPr>
        <w:t xml:space="preserve"> w</w:t>
      </w:r>
      <w:r w:rsidRPr="00B832E0">
        <w:rPr>
          <w:rFonts w:eastAsia="Book Antiqua"/>
        </w:rPr>
        <w:t xml:space="preserve">here legislation is not passed in time </w:t>
      </w:r>
      <w:r>
        <w:rPr>
          <w:rFonts w:eastAsia="Book Antiqua"/>
        </w:rPr>
        <w:t>for the</w:t>
      </w:r>
      <w:r w:rsidRPr="00B832E0">
        <w:rPr>
          <w:rFonts w:eastAsia="Book Antiqua"/>
        </w:rPr>
        <w:t xml:space="preserve"> commencement of the measure </w:t>
      </w:r>
      <w:r>
        <w:rPr>
          <w:rFonts w:eastAsia="Book Antiqua"/>
        </w:rPr>
        <w:t>on</w:t>
      </w:r>
      <w:r w:rsidRPr="00B832E0">
        <w:rPr>
          <w:rFonts w:eastAsia="Book Antiqua"/>
        </w:rPr>
        <w:t xml:space="preserve"> the anticipated commencement date, the legislation is passed with amendments to the original decision, or </w:t>
      </w:r>
      <w:r>
        <w:rPr>
          <w:rFonts w:eastAsia="Book Antiqua"/>
        </w:rPr>
        <w:t>the legislation fails to pass the Parliament</w:t>
      </w:r>
      <w:r w:rsidRPr="00B832E0">
        <w:rPr>
          <w:rFonts w:eastAsia="Book Antiqua"/>
        </w:rPr>
        <w:t>.</w:t>
      </w:r>
    </w:p>
    <w:p w14:paraId="01AC0261" w14:textId="77777777" w:rsidR="009D70F5" w:rsidRPr="00B832E0" w:rsidRDefault="009D70F5" w:rsidP="009D70F5">
      <w:pPr>
        <w:pStyle w:val="Heading3"/>
      </w:pPr>
      <w:bookmarkStart w:id="5" w:name="_Toc166165483"/>
      <w:bookmarkEnd w:id="4"/>
      <w:r w:rsidRPr="00B832E0">
        <w:t>The risks associated with climate change</w:t>
      </w:r>
      <w:bookmarkEnd w:id="5"/>
    </w:p>
    <w:p w14:paraId="7E268F11" w14:textId="77777777" w:rsidR="00D87ECA" w:rsidRPr="00B832E0" w:rsidRDefault="00D87ECA" w:rsidP="008503C8">
      <w:pPr>
        <w:rPr>
          <w:b/>
        </w:rPr>
      </w:pPr>
      <w:r w:rsidRPr="00B832E0">
        <w:t>Over time, climate change is expected to have a significant impact on the Budget</w:t>
      </w:r>
      <w:r>
        <w:t>, both in terms of risk and opportunities</w:t>
      </w:r>
      <w:r w:rsidRPr="00B832E0">
        <w:t xml:space="preserve">. The Australian Government is managing these impacts by reducing emissions and </w:t>
      </w:r>
      <w:r>
        <w:t xml:space="preserve">supporting </w:t>
      </w:r>
      <w:r w:rsidRPr="00B832E0">
        <w:t xml:space="preserve">the economic opportunities presented by the net zero transition. However, there is still significant uncertainty about </w:t>
      </w:r>
      <w:r>
        <w:t xml:space="preserve">the trajectory of </w:t>
      </w:r>
      <w:r w:rsidRPr="00B832E0">
        <w:t xml:space="preserve">global </w:t>
      </w:r>
      <w:r>
        <w:t xml:space="preserve">greenhouse gas </w:t>
      </w:r>
      <w:r w:rsidRPr="00B832E0">
        <w:t>emissions and the impacts</w:t>
      </w:r>
      <w:r>
        <w:t xml:space="preserve"> </w:t>
      </w:r>
      <w:r w:rsidRPr="00B832E0">
        <w:t>climate change will have on Australia.</w:t>
      </w:r>
    </w:p>
    <w:p w14:paraId="284B83BA" w14:textId="3E7F9A32" w:rsidR="00D87ECA" w:rsidRDefault="00D87ECA" w:rsidP="008503C8">
      <w:pPr>
        <w:rPr>
          <w:b/>
        </w:rPr>
      </w:pPr>
      <w:r w:rsidRPr="00B832E0">
        <w:t>Climate change can affect macroeconomic and fiscal outcomes</w:t>
      </w:r>
      <w:r>
        <w:t xml:space="preserve"> in various ways</w:t>
      </w:r>
      <w:r w:rsidRPr="00B832E0">
        <w:t>. These include the physical impacts of climate change, the indirect impacts climate change will have on Australia</w:t>
      </w:r>
      <w:r w:rsidR="00D737F9">
        <w:rPr>
          <w:b/>
        </w:rPr>
        <w:t>’</w:t>
      </w:r>
      <w:r w:rsidRPr="00B832E0">
        <w:t xml:space="preserve">s industry mix, and the impacts of policy responses to reduce emissions or adapt to </w:t>
      </w:r>
      <w:r>
        <w:t xml:space="preserve">the </w:t>
      </w:r>
      <w:r w:rsidRPr="00B832E0">
        <w:t>impacts</w:t>
      </w:r>
      <w:r>
        <w:t xml:space="preserve"> of a changing climate</w:t>
      </w:r>
      <w:r w:rsidRPr="00B832E0">
        <w:t>. Each of these has the potential to affect receipts, payments, and the Australian Government</w:t>
      </w:r>
      <w:r w:rsidR="00D737F9">
        <w:rPr>
          <w:b/>
        </w:rPr>
        <w:t>’</w:t>
      </w:r>
      <w:r w:rsidRPr="00B832E0">
        <w:t>s balance sheet. They also have the potential to influence general economic outcomes, which may</w:t>
      </w:r>
      <w:r>
        <w:t>,</w:t>
      </w:r>
      <w:r w:rsidRPr="00B832E0">
        <w:t xml:space="preserve"> in turn</w:t>
      </w:r>
      <w:r>
        <w:t>,</w:t>
      </w:r>
      <w:r w:rsidRPr="00B832E0">
        <w:t xml:space="preserve"> </w:t>
      </w:r>
      <w:r>
        <w:t>affect</w:t>
      </w:r>
      <w:r w:rsidRPr="00B832E0">
        <w:t xml:space="preserve"> Budget</w:t>
      </w:r>
      <w:r>
        <w:t xml:space="preserve"> outcomes</w:t>
      </w:r>
      <w:r w:rsidRPr="00B832E0">
        <w:rPr>
          <w:b/>
        </w:rPr>
        <w:t xml:space="preserve">. </w:t>
      </w:r>
    </w:p>
    <w:p w14:paraId="631ECBAF" w14:textId="25850177" w:rsidR="0059620E" w:rsidRDefault="0059620E" w:rsidP="008503C8">
      <w:pPr>
        <w:rPr>
          <w:szCs w:val="19"/>
        </w:rPr>
      </w:pPr>
      <w:r>
        <w:rPr>
          <w:szCs w:val="19"/>
        </w:rPr>
        <w:t>Policy responses taken by the Australian Government to address climate change include the establishment of the Capacity Investment Scheme in the 2023–24 Budget and its expansion in the 2023–24 MYEFO to drive investment in renewable dispatchable capacity and ensure reliability in Australia</w:t>
      </w:r>
      <w:r w:rsidR="00D737F9">
        <w:rPr>
          <w:szCs w:val="19"/>
        </w:rPr>
        <w:t>’</w:t>
      </w:r>
      <w:r>
        <w:rPr>
          <w:szCs w:val="19"/>
        </w:rPr>
        <w:t xml:space="preserve">s energy market. </w:t>
      </w:r>
      <w:r w:rsidRPr="00CF4B5E">
        <w:t xml:space="preserve">The Budget impact of </w:t>
      </w:r>
      <w:r w:rsidRPr="006A649C">
        <w:t xml:space="preserve">the Capacity Investment Scheme will depend on future developments in energy prices, which may present risks that are not fully reflected in the Budget estimates. </w:t>
      </w:r>
      <w:r>
        <w:t>While the Government has opened the first Capacity Investment Scheme tender, contracts have yet to be finalised.</w:t>
      </w:r>
      <w:r>
        <w:rPr>
          <w:szCs w:val="19"/>
        </w:rPr>
        <w:t xml:space="preserve"> Specific risks associated with this program will be reflected in the Statement once contracts are finalised and if it is determined that they meet the materiality thresholds for inclusion.</w:t>
      </w:r>
    </w:p>
    <w:p w14:paraId="2F78F15C" w14:textId="7203C23B" w:rsidR="0059620E" w:rsidRDefault="0059620E" w:rsidP="008503C8">
      <w:pPr>
        <w:rPr>
          <w:b/>
        </w:rPr>
      </w:pPr>
      <w:r>
        <w:rPr>
          <w:szCs w:val="19"/>
        </w:rPr>
        <w:t>Measures in the 2024</w:t>
      </w:r>
      <w:r w:rsidR="00D737F9">
        <w:rPr>
          <w:szCs w:val="19"/>
        </w:rPr>
        <w:t>–</w:t>
      </w:r>
      <w:r>
        <w:rPr>
          <w:szCs w:val="19"/>
        </w:rPr>
        <w:t xml:space="preserve">25 Budget to reduce emissions in the Australian economy include </w:t>
      </w:r>
      <w:r w:rsidRPr="1044084A">
        <w:rPr>
          <w:rFonts w:eastAsia="Book Antiqua"/>
        </w:rPr>
        <w:t xml:space="preserve">the Hydrogen Production </w:t>
      </w:r>
      <w:r w:rsidR="00EB06FE">
        <w:rPr>
          <w:rFonts w:eastAsia="Book Antiqua"/>
        </w:rPr>
        <w:t>Tax</w:t>
      </w:r>
      <w:r w:rsidRPr="1044084A">
        <w:rPr>
          <w:rFonts w:eastAsia="Book Antiqua"/>
        </w:rPr>
        <w:t xml:space="preserve"> </w:t>
      </w:r>
      <w:r w:rsidRPr="509E35A1">
        <w:rPr>
          <w:rFonts w:eastAsia="Book Antiqua"/>
        </w:rPr>
        <w:t xml:space="preserve">Incentive and </w:t>
      </w:r>
      <w:r w:rsidRPr="1044084A">
        <w:rPr>
          <w:rFonts w:eastAsia="Book Antiqua"/>
        </w:rPr>
        <w:t>Critical</w:t>
      </w:r>
      <w:r w:rsidRPr="509E35A1">
        <w:rPr>
          <w:rFonts w:eastAsia="Book Antiqua"/>
        </w:rPr>
        <w:t xml:space="preserve"> Minerals Production Tax Incentive which align with the Government</w:t>
      </w:r>
      <w:r w:rsidR="00D737F9">
        <w:rPr>
          <w:rFonts w:eastAsia="Book Antiqua"/>
        </w:rPr>
        <w:t>’</w:t>
      </w:r>
      <w:r w:rsidRPr="509E35A1">
        <w:rPr>
          <w:rFonts w:eastAsia="Book Antiqua"/>
        </w:rPr>
        <w:t>s Future Made in Australia agenda</w:t>
      </w:r>
      <w:r>
        <w:rPr>
          <w:rFonts w:eastAsia="Book Antiqua"/>
        </w:rPr>
        <w:t>. The uncertainty surrounding these measures could affect revenue forecasts.</w:t>
      </w:r>
    </w:p>
    <w:p w14:paraId="7409367B" w14:textId="77777777" w:rsidR="00D87ECA" w:rsidRPr="00B832E0" w:rsidRDefault="00D87ECA" w:rsidP="008503C8">
      <w:r>
        <w:rPr>
          <w:i/>
        </w:rPr>
        <w:lastRenderedPageBreak/>
        <w:t xml:space="preserve">Budget </w:t>
      </w:r>
      <w:r w:rsidRPr="00D13C64">
        <w:rPr>
          <w:i/>
        </w:rPr>
        <w:t xml:space="preserve">Statement </w:t>
      </w:r>
      <w:r>
        <w:rPr>
          <w:i/>
        </w:rPr>
        <w:t>9</w:t>
      </w:r>
      <w:r w:rsidRPr="00D13C64">
        <w:t xml:space="preserve">: </w:t>
      </w:r>
      <w:r w:rsidRPr="00D13C64">
        <w:rPr>
          <w:i/>
        </w:rPr>
        <w:t>Statement of Risks</w:t>
      </w:r>
      <w:r w:rsidRPr="00D13C64">
        <w:t xml:space="preserve"> sets</w:t>
      </w:r>
      <w:r>
        <w:t xml:space="preserve"> out</w:t>
      </w:r>
      <w:r w:rsidRPr="00B832E0">
        <w:t xml:space="preserve"> specific risks where they may have an impact on the Budget in the Budget year or </w:t>
      </w:r>
      <w:r>
        <w:t xml:space="preserve">over the </w:t>
      </w:r>
      <w:r w:rsidRPr="00B832E0">
        <w:t>forward estimates period. Some of these risks, such as those associated with the cyclone and related flooding reinsurance pool and disaster recovery arrangements, are likely to be exacerbated by climate change over time. Other specific risks may emerge that will impact the Budget beyond the forward estimates period. These would be included in this Statement when it is apparent that the potential impact on the Budget would exceed the materiality threshold.</w:t>
      </w:r>
    </w:p>
    <w:p w14:paraId="57A89D26" w14:textId="1A593F30" w:rsidR="009D70F5" w:rsidRPr="00B832E0" w:rsidRDefault="009D70F5" w:rsidP="009D70F5">
      <w:pPr>
        <w:pStyle w:val="Heading3"/>
        <w:rPr>
          <w:rFonts w:eastAsia="Arial"/>
        </w:rPr>
      </w:pPr>
      <w:bookmarkStart w:id="6" w:name="_Toc166165484"/>
      <w:r w:rsidRPr="00B832E0">
        <w:rPr>
          <w:rFonts w:eastAsia="Arial"/>
        </w:rPr>
        <w:t>Special</w:t>
      </w:r>
      <w:r w:rsidR="009143D0">
        <w:rPr>
          <w:rFonts w:eastAsia="Arial"/>
        </w:rPr>
        <w:t>ist</w:t>
      </w:r>
      <w:r w:rsidRPr="00B832E0">
        <w:rPr>
          <w:rFonts w:eastAsia="Arial"/>
        </w:rPr>
        <w:t xml:space="preserve"> Investment Vehicles</w:t>
      </w:r>
      <w:bookmarkEnd w:id="6"/>
    </w:p>
    <w:p w14:paraId="08BE3172" w14:textId="4AD1C132" w:rsidR="009143D0" w:rsidRPr="00B832E0" w:rsidRDefault="009143D0" w:rsidP="008503C8">
      <w:pPr>
        <w:rPr>
          <w:rFonts w:eastAsia="Book Antiqua"/>
        </w:rPr>
      </w:pPr>
      <w:bookmarkStart w:id="7" w:name="_Toc99141850"/>
      <w:r w:rsidRPr="00992AEE">
        <w:rPr>
          <w:rFonts w:eastAsia="Book Antiqua"/>
        </w:rPr>
        <w:t xml:space="preserve">Successive Australian Governments have established Specialist Investment Vehicles (SIVs) to achieve policy outcomes. These include the National Reconstruction Fund, Export Finance Australia, the Clean Energy Finance Corporation, and the Northern Australia Infrastructure Facility. These SIVs have been established with robust governance arrangements, including independent boards, which are charged with making investment decisions that manage risk and deliver outcomes in line with </w:t>
      </w:r>
      <w:r>
        <w:rPr>
          <w:rFonts w:eastAsia="Book Antiqua"/>
        </w:rPr>
        <w:t>each SIV</w:t>
      </w:r>
      <w:r w:rsidR="00D737F9">
        <w:rPr>
          <w:rFonts w:eastAsia="Book Antiqua"/>
        </w:rPr>
        <w:t>’</w:t>
      </w:r>
      <w:r>
        <w:rPr>
          <w:rFonts w:eastAsia="Book Antiqua"/>
        </w:rPr>
        <w:t>s</w:t>
      </w:r>
      <w:r w:rsidRPr="00992AEE">
        <w:rPr>
          <w:rFonts w:eastAsia="Book Antiqua"/>
        </w:rPr>
        <w:t xml:space="preserve"> specific investment mandates.</w:t>
      </w:r>
      <w:r w:rsidRPr="00B832E0">
        <w:rPr>
          <w:rFonts w:eastAsia="Book Antiqua"/>
        </w:rPr>
        <w:t xml:space="preserve"> </w:t>
      </w:r>
      <w:r w:rsidRPr="00D13C64">
        <w:rPr>
          <w:rFonts w:eastAsia="Book Antiqua"/>
        </w:rPr>
        <w:t>Details of each SIV is set out in Budget Paper No.</w:t>
      </w:r>
      <w:r w:rsidR="00080C49">
        <w:rPr>
          <w:rFonts w:eastAsia="Book Antiqua"/>
        </w:rPr>
        <w:t xml:space="preserve"> </w:t>
      </w:r>
      <w:r w:rsidRPr="00D13C64">
        <w:rPr>
          <w:rFonts w:eastAsia="Book Antiqua"/>
        </w:rPr>
        <w:t>2 or Appendix A to the MYEFO</w:t>
      </w:r>
      <w:r w:rsidRPr="00B832E0">
        <w:rPr>
          <w:rFonts w:eastAsia="Book Antiqua"/>
        </w:rPr>
        <w:t xml:space="preserve"> </w:t>
      </w:r>
      <w:r w:rsidRPr="00992AEE">
        <w:rPr>
          <w:rFonts w:eastAsia="Book Antiqua"/>
        </w:rPr>
        <w:t xml:space="preserve">when they are established and, where relevant, presented in the </w:t>
      </w:r>
      <w:r w:rsidR="00D737F9">
        <w:rPr>
          <w:rFonts w:eastAsia="Book Antiqua"/>
        </w:rPr>
        <w:t>‘</w:t>
      </w:r>
      <w:r w:rsidRPr="00992AEE">
        <w:rPr>
          <w:rFonts w:eastAsia="Book Antiqua"/>
        </w:rPr>
        <w:t>Government loans</w:t>
      </w:r>
      <w:r w:rsidR="00D737F9">
        <w:rPr>
          <w:rFonts w:eastAsia="Book Antiqua"/>
        </w:rPr>
        <w:t>’</w:t>
      </w:r>
      <w:r w:rsidRPr="00992AEE">
        <w:rPr>
          <w:rFonts w:eastAsia="Book Antiqua"/>
        </w:rPr>
        <w:t xml:space="preserve"> section of this Statement, including the total value of loans issued by each entity. This Statement includes reference to specific risks associated with these SIVs at the time it is apparent that those risks associated with the investments exceed or are expected to exceed the materiality threshold.</w:t>
      </w:r>
      <w:r>
        <w:rPr>
          <w:rFonts w:eastAsia="Book Antiqua"/>
        </w:rPr>
        <w:t xml:space="preserve"> </w:t>
      </w:r>
    </w:p>
    <w:p w14:paraId="26571284" w14:textId="77777777" w:rsidR="009D70F5" w:rsidRPr="00B832E0" w:rsidRDefault="009D70F5" w:rsidP="009D70F5">
      <w:pPr>
        <w:pStyle w:val="Heading3"/>
        <w:rPr>
          <w:rFonts w:eastAsia="Arial"/>
        </w:rPr>
      </w:pPr>
      <w:bookmarkStart w:id="8" w:name="_Toc166165485"/>
      <w:r w:rsidRPr="00B832E0">
        <w:rPr>
          <w:rFonts w:eastAsia="Arial"/>
        </w:rPr>
        <w:t>Specific risks to the Budget</w:t>
      </w:r>
      <w:bookmarkEnd w:id="7"/>
      <w:bookmarkEnd w:id="8"/>
    </w:p>
    <w:p w14:paraId="3A7C86E8" w14:textId="77777777" w:rsidR="001B7EF5" w:rsidRPr="00B832E0" w:rsidRDefault="001B7EF5" w:rsidP="008503C8">
      <w:pPr>
        <w:rPr>
          <w:rFonts w:eastAsia="Book Antiqua"/>
        </w:rPr>
      </w:pPr>
      <w:r w:rsidRPr="00B832E0">
        <w:rPr>
          <w:rFonts w:eastAsia="Book Antiqua"/>
        </w:rPr>
        <w:t>The Budget is subject to contingent liabilities. Many</w:t>
      </w:r>
      <w:r>
        <w:rPr>
          <w:rFonts w:eastAsia="Book Antiqua"/>
        </w:rPr>
        <w:t xml:space="preserve"> of</w:t>
      </w:r>
      <w:r w:rsidRPr="00B832E0">
        <w:rPr>
          <w:rFonts w:eastAsia="Book Antiqua"/>
        </w:rPr>
        <w:t xml:space="preserve"> these reflect indemnities, including those relating to the Department of Defence, the Future Fund Management Agency and Future Fund Board of Guardians, and the Reserve Bank of Australia. The</w:t>
      </w:r>
      <w:r>
        <w:rPr>
          <w:rFonts w:eastAsia="Book Antiqua"/>
        </w:rPr>
        <w:t xml:space="preserve"> </w:t>
      </w:r>
      <w:r w:rsidRPr="00B832E0">
        <w:rPr>
          <w:rFonts w:eastAsia="Book Antiqua"/>
        </w:rPr>
        <w:t>Australian</w:t>
      </w:r>
      <w:r>
        <w:rPr>
          <w:rFonts w:eastAsia="Book Antiqua"/>
        </w:rPr>
        <w:t xml:space="preserve"> </w:t>
      </w:r>
      <w:r w:rsidRPr="00B832E0">
        <w:rPr>
          <w:rFonts w:eastAsia="Book Antiqua"/>
        </w:rPr>
        <w:t xml:space="preserve">Government has also issued guarantees, </w:t>
      </w:r>
      <w:r>
        <w:rPr>
          <w:rFonts w:eastAsia="Book Antiqua"/>
        </w:rPr>
        <w:t>including</w:t>
      </w:r>
      <w:r w:rsidRPr="00B832E0">
        <w:rPr>
          <w:rFonts w:eastAsia="Book Antiqua"/>
        </w:rPr>
        <w:t xml:space="preserve"> those relating to guarantee schemes for the banking and financial sector, payments by Export Finance Australia, and the superannuation liabilities of the Commonwealth Bank prior to its sale. Other significant contingent liabilities relate to uncalled capital subscriptions and credit facilities to international financial institutions and legal cases concerning the Australian Government. The Government has robust and conservative strategies in place to reduce its potential exposure to these contingent liabilities. </w:t>
      </w:r>
    </w:p>
    <w:p w14:paraId="56504201" w14:textId="77777777" w:rsidR="001B7EF5" w:rsidRPr="00B832E0" w:rsidRDefault="001B7EF5" w:rsidP="008503C8">
      <w:pPr>
        <w:rPr>
          <w:rFonts w:eastAsia="Book Antiqua"/>
        </w:rPr>
      </w:pPr>
      <w:r w:rsidRPr="00B832E0">
        <w:rPr>
          <w:rFonts w:eastAsia="Book Antiqua"/>
        </w:rPr>
        <w:t xml:space="preserve">Fiscal risks </w:t>
      </w:r>
      <w:r>
        <w:rPr>
          <w:rFonts w:eastAsia="Book Antiqua"/>
        </w:rPr>
        <w:t>arise from</w:t>
      </w:r>
      <w:r w:rsidRPr="00B832E0">
        <w:rPr>
          <w:rFonts w:eastAsia="Book Antiqua"/>
        </w:rPr>
        <w:t xml:space="preserve"> general developments or specific events that may affect the fiscal outlook. Some developments or events raise the possibility of a fiscal impact. In other cases, the likelihood of a fiscal impact may be reasonably certain but will not be included in the forward estimates because the timing or magnitude </w:t>
      </w:r>
      <w:r>
        <w:rPr>
          <w:rFonts w:eastAsia="Book Antiqua"/>
        </w:rPr>
        <w:t xml:space="preserve">of the impact </w:t>
      </w:r>
      <w:r w:rsidRPr="00B832E0">
        <w:rPr>
          <w:rFonts w:eastAsia="Book Antiqua"/>
        </w:rPr>
        <w:t>is not known.</w:t>
      </w:r>
    </w:p>
    <w:p w14:paraId="60010464" w14:textId="77777777" w:rsidR="001B7EF5" w:rsidRPr="006A0524" w:rsidRDefault="001B7EF5" w:rsidP="008503C8">
      <w:pPr>
        <w:rPr>
          <w:rFonts w:eastAsia="Book Antiqua"/>
        </w:rPr>
      </w:pPr>
      <w:r w:rsidRPr="006A0524">
        <w:rPr>
          <w:rFonts w:eastAsia="Book Antiqua"/>
        </w:rPr>
        <w:t>Table </w:t>
      </w:r>
      <w:r>
        <w:rPr>
          <w:rFonts w:eastAsia="Book Antiqua"/>
        </w:rPr>
        <w:t>9</w:t>
      </w:r>
      <w:r w:rsidRPr="006A0524">
        <w:rPr>
          <w:rFonts w:eastAsia="Book Antiqua"/>
        </w:rPr>
        <w:t xml:space="preserve">.1 outlines how fiscal risks, assets and liabilities, and contingent assets and liabilities, are disclosed in the </w:t>
      </w:r>
      <w:bookmarkStart w:id="9" w:name="_Toc32480713"/>
      <w:bookmarkStart w:id="10" w:name="_Toc32487225"/>
      <w:r w:rsidRPr="006A0524">
        <w:rPr>
          <w:rFonts w:eastAsia="Book Antiqua"/>
        </w:rPr>
        <w:t xml:space="preserve">Budget. </w:t>
      </w:r>
    </w:p>
    <w:p w14:paraId="22125CFA" w14:textId="77777777" w:rsidR="001B7EF5" w:rsidRDefault="001B7EF5" w:rsidP="008503C8">
      <w:pPr>
        <w:keepNext/>
        <w:keepLines/>
        <w:rPr>
          <w:rFonts w:eastAsia="Book Antiqua"/>
        </w:rPr>
      </w:pPr>
      <w:r w:rsidRPr="006A0524">
        <w:rPr>
          <w:rFonts w:eastAsia="Book Antiqua"/>
        </w:rPr>
        <w:lastRenderedPageBreak/>
        <w:t>Table </w:t>
      </w:r>
      <w:r>
        <w:rPr>
          <w:rFonts w:eastAsia="Book Antiqua"/>
        </w:rPr>
        <w:t>9</w:t>
      </w:r>
      <w:r w:rsidRPr="006A0524">
        <w:rPr>
          <w:rFonts w:eastAsia="Book Antiqua"/>
        </w:rPr>
        <w:t>.2 summarises fiscal risks, contingent liabilities and contingent assets with a possible impact on the forward estimates greater than $20 million in any one year, or $50 million over the forward estimates period. Risks that are new or that have materially changed are detailed by portfolio after Table </w:t>
      </w:r>
      <w:r>
        <w:rPr>
          <w:rFonts w:eastAsia="Book Antiqua"/>
        </w:rPr>
        <w:t>9</w:t>
      </w:r>
      <w:r w:rsidRPr="006A0524">
        <w:rPr>
          <w:rFonts w:eastAsia="Book Antiqua"/>
        </w:rPr>
        <w:t>.2.</w:t>
      </w:r>
      <w:r w:rsidRPr="00B832E0">
        <w:rPr>
          <w:rFonts w:eastAsia="Book Antiqua"/>
        </w:rPr>
        <w:t xml:space="preserve"> </w:t>
      </w:r>
    </w:p>
    <w:p w14:paraId="3585A4D5" w14:textId="7CAC92F1" w:rsidR="001B7EF5" w:rsidRPr="00B832E0" w:rsidRDefault="001B7EF5" w:rsidP="001B7EF5">
      <w:pPr>
        <w:rPr>
          <w:rFonts w:eastAsia="Book Antiqua"/>
        </w:rPr>
      </w:pPr>
      <w:r>
        <w:rPr>
          <w:rFonts w:eastAsia="Book Antiqua"/>
        </w:rPr>
        <w:t>T</w:t>
      </w:r>
      <w:r w:rsidRPr="00B832E0">
        <w:rPr>
          <w:rFonts w:eastAsia="Book Antiqua"/>
        </w:rPr>
        <w:t>he Australian Government</w:t>
      </w:r>
      <w:r w:rsidR="00D737F9">
        <w:rPr>
          <w:rFonts w:eastAsia="Book Antiqua"/>
        </w:rPr>
        <w:t>’</w:t>
      </w:r>
      <w:r w:rsidRPr="00B832E0">
        <w:rPr>
          <w:rFonts w:eastAsia="Book Antiqua"/>
        </w:rPr>
        <w:t>s annual consolidated financial statements</w:t>
      </w:r>
      <w:r>
        <w:rPr>
          <w:rFonts w:eastAsia="Book Antiqua"/>
        </w:rPr>
        <w:t xml:space="preserve"> and </w:t>
      </w:r>
      <w:r w:rsidRPr="00B832E0">
        <w:rPr>
          <w:rFonts w:eastAsia="Book Antiqua"/>
        </w:rPr>
        <w:t xml:space="preserve">the annual financial statements of departments and other Government entities </w:t>
      </w:r>
      <w:r>
        <w:rPr>
          <w:rFonts w:eastAsia="Book Antiqua"/>
        </w:rPr>
        <w:t>also set out i</w:t>
      </w:r>
      <w:r w:rsidRPr="00B832E0">
        <w:rPr>
          <w:rFonts w:eastAsia="Book Antiqua"/>
        </w:rPr>
        <w:t>nformation on contingent liabilities and contingent assets.</w:t>
      </w:r>
      <w:bookmarkEnd w:id="9"/>
      <w:bookmarkEnd w:id="10"/>
    </w:p>
    <w:p w14:paraId="63115A31" w14:textId="6E72FA71" w:rsidR="001B7EF5" w:rsidRPr="00B832E0" w:rsidRDefault="001B7EF5" w:rsidP="003A10D7">
      <w:pPr>
        <w:rPr>
          <w:rFonts w:eastAsia="Book Antiqua"/>
        </w:rPr>
      </w:pPr>
      <w:r w:rsidRPr="00B832E0">
        <w:rPr>
          <w:rFonts w:eastAsia="Book Antiqua"/>
        </w:rPr>
        <w:t>The Government also makes direct loans for policy purposes. All loans contain some element of credit risk</w:t>
      </w:r>
      <w:r>
        <w:rPr>
          <w:rFonts w:eastAsia="Book Antiqua"/>
        </w:rPr>
        <w:t xml:space="preserve"> (</w:t>
      </w:r>
      <w:r w:rsidRPr="00B832E0">
        <w:rPr>
          <w:rFonts w:eastAsia="Book Antiqua"/>
        </w:rPr>
        <w:t>that</w:t>
      </w:r>
      <w:r>
        <w:rPr>
          <w:rFonts w:eastAsia="Book Antiqua"/>
        </w:rPr>
        <w:t xml:space="preserve"> is,</w:t>
      </w:r>
      <w:r w:rsidRPr="00B832E0">
        <w:rPr>
          <w:rFonts w:eastAsia="Book Antiqua"/>
        </w:rPr>
        <w:t xml:space="preserve"> they will not be repaid in full</w:t>
      </w:r>
      <w:r>
        <w:rPr>
          <w:rFonts w:eastAsia="Book Antiqua"/>
        </w:rPr>
        <w:t>)</w:t>
      </w:r>
      <w:r w:rsidRPr="00B832E0">
        <w:rPr>
          <w:rFonts w:eastAsia="Book Antiqua"/>
        </w:rPr>
        <w:t xml:space="preserve"> although</w:t>
      </w:r>
      <w:r>
        <w:rPr>
          <w:rFonts w:eastAsia="Book Antiqua"/>
        </w:rPr>
        <w:t>,</w:t>
      </w:r>
      <w:r w:rsidRPr="00B832E0">
        <w:rPr>
          <w:rFonts w:eastAsia="Book Antiqua"/>
        </w:rPr>
        <w:t xml:space="preserve"> in many cases</w:t>
      </w:r>
      <w:r>
        <w:rPr>
          <w:rFonts w:eastAsia="Book Antiqua"/>
        </w:rPr>
        <w:t>,</w:t>
      </w:r>
      <w:r w:rsidRPr="00B832E0">
        <w:rPr>
          <w:rFonts w:eastAsia="Book Antiqua"/>
        </w:rPr>
        <w:t xml:space="preserve"> this risk is small. </w:t>
      </w:r>
      <w:r w:rsidRPr="00971648">
        <w:rPr>
          <w:rFonts w:eastAsia="Book Antiqua"/>
        </w:rPr>
        <w:t xml:space="preserve">Details of Government loans that exceeded $200 million at </w:t>
      </w:r>
      <w:r w:rsidRPr="00220EBC">
        <w:rPr>
          <w:rFonts w:eastAsia="Book Antiqua"/>
        </w:rPr>
        <w:t>30 June 2024</w:t>
      </w:r>
      <w:r w:rsidRPr="006A0524">
        <w:rPr>
          <w:rFonts w:eastAsia="Book Antiqua"/>
        </w:rPr>
        <w:t xml:space="preserve"> are</w:t>
      </w:r>
      <w:r w:rsidRPr="00971648">
        <w:rPr>
          <w:rFonts w:eastAsia="Book Antiqua"/>
        </w:rPr>
        <w:t xml:space="preserve"> included at the conclusion of </w:t>
      </w:r>
      <w:r>
        <w:rPr>
          <w:rFonts w:eastAsia="Book Antiqua"/>
        </w:rPr>
        <w:t>Statement</w:t>
      </w:r>
      <w:r w:rsidR="00DB655C">
        <w:rPr>
          <w:rFonts w:eastAsia="Book Antiqua"/>
        </w:rPr>
        <w:t> </w:t>
      </w:r>
      <w:r>
        <w:rPr>
          <w:rFonts w:eastAsia="Book Antiqua"/>
        </w:rPr>
        <w:t>9</w:t>
      </w:r>
      <w:r w:rsidRPr="00971648">
        <w:rPr>
          <w:rFonts w:eastAsia="Book Antiqua"/>
        </w:rPr>
        <w:t>.</w:t>
      </w:r>
    </w:p>
    <w:p w14:paraId="25CFF0A0" w14:textId="77777777" w:rsidR="00A67E34" w:rsidRPr="00B832E0" w:rsidRDefault="00A67E34" w:rsidP="00A67E34">
      <w:pPr>
        <w:pStyle w:val="TableHeading"/>
        <w:rPr>
          <w:rFonts w:eastAsia="Arial"/>
        </w:rPr>
      </w:pPr>
      <w:r w:rsidRPr="00B832E0">
        <w:rPr>
          <w:rFonts w:eastAsia="Arial"/>
        </w:rPr>
        <w:t>Ta</w:t>
      </w:r>
      <w:r w:rsidRPr="00D13C64">
        <w:rPr>
          <w:rFonts w:eastAsia="Arial"/>
        </w:rPr>
        <w:t xml:space="preserve">ble </w:t>
      </w:r>
      <w:r>
        <w:rPr>
          <w:rFonts w:eastAsia="Arial"/>
        </w:rPr>
        <w:t>9</w:t>
      </w:r>
      <w:r w:rsidRPr="00D13C64">
        <w:rPr>
          <w:rFonts w:eastAsia="Arial"/>
        </w:rPr>
        <w:t>.1: Disclosure</w:t>
      </w:r>
      <w:r w:rsidRPr="006C4EA4">
        <w:rPr>
          <w:rFonts w:eastAsia="Arial"/>
        </w:rPr>
        <w:t xml:space="preserve"> </w:t>
      </w:r>
      <w:r w:rsidRPr="00B832E0">
        <w:rPr>
          <w:rFonts w:eastAsia="Arial"/>
        </w:rPr>
        <w:t>of fiscal risks, contingent assets and contingent liabilities, and assets and liabilities in the Budget papers</w:t>
      </w:r>
    </w:p>
    <w:tbl>
      <w:tblPr>
        <w:tblW w:w="5000" w:type="pct"/>
        <w:tblBorders>
          <w:top w:val="single" w:sz="2" w:space="0" w:color="002A54" w:themeColor="text2"/>
          <w:bottom w:val="single" w:sz="2" w:space="0" w:color="002A54" w:themeColor="text2"/>
          <w:insideH w:val="single" w:sz="2" w:space="0" w:color="002A54" w:themeColor="text2"/>
        </w:tblBorders>
        <w:tblLayout w:type="fixed"/>
        <w:tblLook w:val="01E0" w:firstRow="1" w:lastRow="1" w:firstColumn="1" w:lastColumn="1" w:noHBand="0" w:noVBand="0"/>
        <w:tblCaption w:val="Table"/>
      </w:tblPr>
      <w:tblGrid>
        <w:gridCol w:w="2004"/>
        <w:gridCol w:w="3666"/>
        <w:gridCol w:w="2041"/>
      </w:tblGrid>
      <w:tr w:rsidR="00A67E34" w:rsidRPr="00B832E0" w14:paraId="1517A2E0" w14:textId="77777777" w:rsidTr="00042053">
        <w:trPr>
          <w:trHeight w:val="263"/>
        </w:trPr>
        <w:tc>
          <w:tcPr>
            <w:tcW w:w="1998" w:type="dxa"/>
            <w:shd w:val="clear" w:color="auto" w:fill="E6F2FF"/>
          </w:tcPr>
          <w:p w14:paraId="354EE4B8" w14:textId="77777777" w:rsidR="00A67E34" w:rsidRPr="00B832E0" w:rsidRDefault="00A67E34" w:rsidP="00042053">
            <w:pPr>
              <w:pStyle w:val="TableColumnHeadingLeft"/>
              <w:rPr>
                <w:rFonts w:eastAsia="Arial"/>
              </w:rPr>
            </w:pPr>
            <w:r w:rsidRPr="00B832E0">
              <w:rPr>
                <w:rFonts w:eastAsia="Arial"/>
              </w:rPr>
              <w:t>Category</w:t>
            </w:r>
          </w:p>
        </w:tc>
        <w:tc>
          <w:tcPr>
            <w:tcW w:w="3666" w:type="dxa"/>
            <w:shd w:val="clear" w:color="auto" w:fill="E6F2FF"/>
          </w:tcPr>
          <w:p w14:paraId="2EA94255" w14:textId="77777777" w:rsidR="00A67E34" w:rsidRPr="00B832E0" w:rsidRDefault="00A67E34" w:rsidP="00042053">
            <w:pPr>
              <w:pStyle w:val="TableColumnHeadingLeft"/>
              <w:rPr>
                <w:rFonts w:eastAsia="Arial"/>
              </w:rPr>
            </w:pPr>
            <w:r w:rsidRPr="00B832E0">
              <w:rPr>
                <w:rFonts w:eastAsia="Arial"/>
              </w:rPr>
              <w:t>Type</w:t>
            </w:r>
            <w:r w:rsidRPr="00B832E0">
              <w:rPr>
                <w:rFonts w:eastAsia="Arial"/>
                <w:vertAlign w:val="superscript"/>
              </w:rPr>
              <w:t>(a)</w:t>
            </w:r>
          </w:p>
        </w:tc>
        <w:tc>
          <w:tcPr>
            <w:tcW w:w="2041" w:type="dxa"/>
            <w:shd w:val="clear" w:color="auto" w:fill="E6F2FF"/>
          </w:tcPr>
          <w:p w14:paraId="2E628867" w14:textId="77777777" w:rsidR="00A67E34" w:rsidRPr="00B832E0" w:rsidRDefault="00A67E34" w:rsidP="00042053">
            <w:pPr>
              <w:pStyle w:val="TableColumnHeadingLeft"/>
              <w:rPr>
                <w:rFonts w:eastAsia="Arial"/>
              </w:rPr>
            </w:pPr>
            <w:r w:rsidRPr="00B832E0">
              <w:rPr>
                <w:rFonts w:eastAsia="Arial"/>
              </w:rPr>
              <w:t>Disclosure</w:t>
            </w:r>
          </w:p>
        </w:tc>
      </w:tr>
      <w:tr w:rsidR="00A67E34" w:rsidRPr="00B832E0" w14:paraId="619C0CBB" w14:textId="77777777" w:rsidTr="00042053">
        <w:trPr>
          <w:trHeight w:val="223"/>
        </w:trPr>
        <w:tc>
          <w:tcPr>
            <w:tcW w:w="2004" w:type="dxa"/>
            <w:tcBorders>
              <w:bottom w:val="single" w:sz="2" w:space="0" w:color="002A54" w:themeColor="text2"/>
            </w:tcBorders>
          </w:tcPr>
          <w:p w14:paraId="46D01B7B" w14:textId="77777777" w:rsidR="00A67E34" w:rsidRPr="00B832E0" w:rsidRDefault="00A67E34" w:rsidP="00042053">
            <w:pPr>
              <w:pStyle w:val="TableTextLeft"/>
              <w:rPr>
                <w:rFonts w:eastAsia="Arial"/>
              </w:rPr>
            </w:pPr>
            <w:r w:rsidRPr="00B832E0">
              <w:rPr>
                <w:rFonts w:eastAsia="Arial"/>
              </w:rPr>
              <w:t>Fiscal Risks</w:t>
            </w:r>
          </w:p>
        </w:tc>
        <w:tc>
          <w:tcPr>
            <w:tcW w:w="3666" w:type="dxa"/>
          </w:tcPr>
          <w:p w14:paraId="38BB08B0" w14:textId="77777777" w:rsidR="00A67E34" w:rsidRPr="00B832E0" w:rsidRDefault="00A67E34" w:rsidP="00042053">
            <w:pPr>
              <w:pStyle w:val="TableTextLeft"/>
              <w:rPr>
                <w:rFonts w:eastAsia="Arial"/>
              </w:rPr>
            </w:pPr>
            <w:r w:rsidRPr="00B832E0">
              <w:rPr>
                <w:rFonts w:eastAsia="Arial"/>
              </w:rPr>
              <w:t>Fiscal Risks</w:t>
            </w:r>
          </w:p>
        </w:tc>
        <w:tc>
          <w:tcPr>
            <w:tcW w:w="2041" w:type="dxa"/>
          </w:tcPr>
          <w:p w14:paraId="7A491AF4" w14:textId="77777777" w:rsidR="00A67E34" w:rsidRPr="00B832E0" w:rsidRDefault="00A67E34" w:rsidP="00042053">
            <w:pPr>
              <w:pStyle w:val="TableTextLeft"/>
              <w:rPr>
                <w:rFonts w:eastAsia="Arial"/>
              </w:rPr>
            </w:pPr>
            <w:r w:rsidRPr="00B832E0">
              <w:rPr>
                <w:rFonts w:eastAsia="Arial"/>
              </w:rPr>
              <w:t>Statement of Risks</w:t>
            </w:r>
          </w:p>
        </w:tc>
      </w:tr>
      <w:tr w:rsidR="00A67E34" w:rsidRPr="00B832E0" w14:paraId="0B12E5F5" w14:textId="77777777" w:rsidTr="00042053">
        <w:trPr>
          <w:trHeight w:val="407"/>
        </w:trPr>
        <w:tc>
          <w:tcPr>
            <w:tcW w:w="2004" w:type="dxa"/>
            <w:tcBorders>
              <w:bottom w:val="nil"/>
            </w:tcBorders>
          </w:tcPr>
          <w:p w14:paraId="3AA15925" w14:textId="77777777" w:rsidR="00A67E34" w:rsidRPr="00B832E0" w:rsidRDefault="00A67E34" w:rsidP="00042053">
            <w:pPr>
              <w:pStyle w:val="TableTextLeft"/>
              <w:rPr>
                <w:rFonts w:eastAsia="Arial"/>
              </w:rPr>
            </w:pPr>
            <w:r w:rsidRPr="00B832E0">
              <w:rPr>
                <w:rFonts w:eastAsia="Arial"/>
              </w:rPr>
              <w:t>Contingent assets and contingent liabilities</w:t>
            </w:r>
          </w:p>
        </w:tc>
        <w:tc>
          <w:tcPr>
            <w:tcW w:w="3666" w:type="dxa"/>
          </w:tcPr>
          <w:p w14:paraId="5AE5B9E8" w14:textId="77777777" w:rsidR="00A67E34" w:rsidRPr="00B832E0" w:rsidRDefault="00A67E34" w:rsidP="00042053">
            <w:pPr>
              <w:pStyle w:val="TableTextLeft"/>
              <w:rPr>
                <w:rFonts w:eastAsia="Arial"/>
              </w:rPr>
            </w:pPr>
            <w:r w:rsidRPr="00B832E0">
              <w:rPr>
                <w:rFonts w:eastAsia="Arial"/>
              </w:rPr>
              <w:t>Significant contingent assets and liabilities considered remote</w:t>
            </w:r>
          </w:p>
        </w:tc>
        <w:tc>
          <w:tcPr>
            <w:tcW w:w="2041" w:type="dxa"/>
          </w:tcPr>
          <w:p w14:paraId="3A19CE7A" w14:textId="77777777" w:rsidR="00A67E34" w:rsidRPr="00B832E0" w:rsidRDefault="00A67E34" w:rsidP="00042053">
            <w:pPr>
              <w:pStyle w:val="TableTextLeft"/>
              <w:rPr>
                <w:rFonts w:eastAsia="Arial"/>
              </w:rPr>
            </w:pPr>
            <w:r w:rsidRPr="00B832E0">
              <w:rPr>
                <w:rFonts w:eastAsia="Arial"/>
              </w:rPr>
              <w:t>Statement of Risks</w:t>
            </w:r>
          </w:p>
        </w:tc>
      </w:tr>
      <w:tr w:rsidR="00A67E34" w:rsidRPr="00B832E0" w14:paraId="73A2B83E" w14:textId="77777777" w:rsidTr="00042053">
        <w:trPr>
          <w:trHeight w:val="407"/>
        </w:trPr>
        <w:tc>
          <w:tcPr>
            <w:tcW w:w="2004" w:type="dxa"/>
            <w:tcBorders>
              <w:top w:val="nil"/>
              <w:bottom w:val="nil"/>
            </w:tcBorders>
          </w:tcPr>
          <w:p w14:paraId="6F0C8DFD" w14:textId="77777777" w:rsidR="00A67E34" w:rsidRPr="00B832E0" w:rsidRDefault="00A67E34" w:rsidP="00042053">
            <w:pPr>
              <w:pStyle w:val="TableTextLeft"/>
              <w:rPr>
                <w:rFonts w:eastAsia="Arial"/>
              </w:rPr>
            </w:pPr>
          </w:p>
        </w:tc>
        <w:tc>
          <w:tcPr>
            <w:tcW w:w="3666" w:type="dxa"/>
          </w:tcPr>
          <w:p w14:paraId="4FB026A2" w14:textId="77777777" w:rsidR="00A67E34" w:rsidRPr="00B832E0" w:rsidRDefault="00A67E34" w:rsidP="00042053">
            <w:pPr>
              <w:pStyle w:val="TableTextLeft"/>
              <w:rPr>
                <w:rFonts w:eastAsia="Arial"/>
              </w:rPr>
            </w:pPr>
            <w:r w:rsidRPr="00B832E0">
              <w:rPr>
                <w:rFonts w:eastAsia="Arial"/>
              </w:rPr>
              <w:t>Unquantifiable contingent assets and liabilities that are improbable but not remote</w:t>
            </w:r>
          </w:p>
        </w:tc>
        <w:tc>
          <w:tcPr>
            <w:tcW w:w="2041" w:type="dxa"/>
          </w:tcPr>
          <w:p w14:paraId="33C6FB48" w14:textId="77777777" w:rsidR="00A67E34" w:rsidRPr="00B832E0" w:rsidRDefault="00A67E34" w:rsidP="00042053">
            <w:pPr>
              <w:pStyle w:val="TableTextLeft"/>
              <w:rPr>
                <w:rFonts w:eastAsia="Arial"/>
              </w:rPr>
            </w:pPr>
            <w:r w:rsidRPr="00B832E0">
              <w:rPr>
                <w:rFonts w:eastAsia="Arial"/>
              </w:rPr>
              <w:t>Statement of Risks</w:t>
            </w:r>
          </w:p>
        </w:tc>
      </w:tr>
      <w:tr w:rsidR="00A67E34" w:rsidRPr="00B832E0" w14:paraId="02813D0B" w14:textId="77777777" w:rsidTr="00042053">
        <w:trPr>
          <w:trHeight w:val="410"/>
        </w:trPr>
        <w:tc>
          <w:tcPr>
            <w:tcW w:w="2004" w:type="dxa"/>
            <w:tcBorders>
              <w:top w:val="nil"/>
              <w:bottom w:val="nil"/>
            </w:tcBorders>
          </w:tcPr>
          <w:p w14:paraId="4483207A" w14:textId="77777777" w:rsidR="00A67E34" w:rsidRPr="00B832E0" w:rsidRDefault="00A67E34" w:rsidP="00042053">
            <w:pPr>
              <w:pStyle w:val="TableTextLeft"/>
              <w:rPr>
                <w:rFonts w:eastAsia="Arial"/>
              </w:rPr>
            </w:pPr>
          </w:p>
        </w:tc>
        <w:tc>
          <w:tcPr>
            <w:tcW w:w="3666" w:type="dxa"/>
          </w:tcPr>
          <w:p w14:paraId="7581CF32" w14:textId="77777777" w:rsidR="00A67E34" w:rsidRPr="00B832E0" w:rsidRDefault="00A67E34" w:rsidP="00042053">
            <w:pPr>
              <w:pStyle w:val="TableTextLeft"/>
              <w:rPr>
                <w:rFonts w:eastAsia="Arial"/>
              </w:rPr>
            </w:pPr>
            <w:r w:rsidRPr="00B832E0">
              <w:rPr>
                <w:rFonts w:eastAsia="Arial"/>
              </w:rPr>
              <w:t>Quantifiable contingent assets and liabilities that are improbable but not remote</w:t>
            </w:r>
          </w:p>
        </w:tc>
        <w:tc>
          <w:tcPr>
            <w:tcW w:w="2041" w:type="dxa"/>
          </w:tcPr>
          <w:p w14:paraId="0FF69A11" w14:textId="77777777" w:rsidR="00A67E34" w:rsidRPr="00B832E0" w:rsidRDefault="00A67E34" w:rsidP="00042053">
            <w:pPr>
              <w:pStyle w:val="TableTextLeft"/>
              <w:rPr>
                <w:rFonts w:eastAsia="Arial"/>
              </w:rPr>
            </w:pPr>
            <w:r w:rsidRPr="00B832E0">
              <w:rPr>
                <w:rFonts w:eastAsia="Arial"/>
              </w:rPr>
              <w:t>Statement of Risks</w:t>
            </w:r>
          </w:p>
        </w:tc>
      </w:tr>
      <w:tr w:rsidR="00A67E34" w:rsidRPr="00B832E0" w14:paraId="4A1A617F" w14:textId="77777777" w:rsidTr="00042053">
        <w:trPr>
          <w:trHeight w:val="407"/>
        </w:trPr>
        <w:tc>
          <w:tcPr>
            <w:tcW w:w="2004" w:type="dxa"/>
            <w:tcBorders>
              <w:top w:val="nil"/>
            </w:tcBorders>
          </w:tcPr>
          <w:p w14:paraId="330F91AF" w14:textId="77777777" w:rsidR="00A67E34" w:rsidRPr="00B832E0" w:rsidRDefault="00A67E34" w:rsidP="00042053">
            <w:pPr>
              <w:pStyle w:val="TableTextLeft"/>
              <w:rPr>
                <w:rFonts w:eastAsia="Arial"/>
              </w:rPr>
            </w:pPr>
          </w:p>
        </w:tc>
        <w:tc>
          <w:tcPr>
            <w:tcW w:w="3666" w:type="dxa"/>
          </w:tcPr>
          <w:p w14:paraId="7754B360" w14:textId="77777777" w:rsidR="00A67E34" w:rsidRPr="00B832E0" w:rsidRDefault="00A67E34" w:rsidP="00042053">
            <w:pPr>
              <w:pStyle w:val="TableTextLeft"/>
              <w:rPr>
                <w:rFonts w:eastAsia="Arial"/>
              </w:rPr>
            </w:pPr>
            <w:r w:rsidRPr="00B832E0">
              <w:rPr>
                <w:rFonts w:eastAsia="Arial"/>
              </w:rPr>
              <w:t>Contingent assets and liabilities excluded on the basis of immateriality</w:t>
            </w:r>
            <w:r w:rsidRPr="00B832E0">
              <w:rPr>
                <w:rFonts w:eastAsia="Arial"/>
                <w:vertAlign w:val="superscript"/>
              </w:rPr>
              <w:t>(b)</w:t>
            </w:r>
          </w:p>
        </w:tc>
        <w:tc>
          <w:tcPr>
            <w:tcW w:w="2041" w:type="dxa"/>
          </w:tcPr>
          <w:p w14:paraId="077261B0" w14:textId="77777777" w:rsidR="00A67E34" w:rsidRPr="00B832E0" w:rsidRDefault="00A67E34" w:rsidP="00042053">
            <w:pPr>
              <w:pStyle w:val="TableTextLeft"/>
              <w:rPr>
                <w:rFonts w:eastAsia="Arial"/>
              </w:rPr>
            </w:pPr>
            <w:r w:rsidRPr="00B832E0">
              <w:rPr>
                <w:rFonts w:eastAsia="Arial"/>
              </w:rPr>
              <w:t>None</w:t>
            </w:r>
          </w:p>
        </w:tc>
      </w:tr>
      <w:tr w:rsidR="00A67E34" w:rsidRPr="00B832E0" w14:paraId="4FAD4B3D" w14:textId="77777777" w:rsidTr="00042053">
        <w:trPr>
          <w:trHeight w:val="407"/>
        </w:trPr>
        <w:tc>
          <w:tcPr>
            <w:tcW w:w="2004" w:type="dxa"/>
          </w:tcPr>
          <w:p w14:paraId="711B26B1" w14:textId="77777777" w:rsidR="00A67E34" w:rsidRPr="00B832E0" w:rsidRDefault="00A67E34" w:rsidP="00042053">
            <w:pPr>
              <w:pStyle w:val="TableTextLeft"/>
              <w:rPr>
                <w:rFonts w:eastAsia="Arial"/>
              </w:rPr>
            </w:pPr>
            <w:r w:rsidRPr="00B832E0">
              <w:rPr>
                <w:rFonts w:eastAsia="Arial"/>
              </w:rPr>
              <w:t>Assets and liabilities</w:t>
            </w:r>
          </w:p>
        </w:tc>
        <w:tc>
          <w:tcPr>
            <w:tcW w:w="3666" w:type="dxa"/>
          </w:tcPr>
          <w:p w14:paraId="39A8412C" w14:textId="77777777" w:rsidR="00A67E34" w:rsidRPr="00B832E0" w:rsidRDefault="00A67E34" w:rsidP="00042053">
            <w:pPr>
              <w:pStyle w:val="TableTextLeft"/>
              <w:rPr>
                <w:rFonts w:eastAsia="Arial"/>
              </w:rPr>
            </w:pPr>
            <w:r w:rsidRPr="00B832E0">
              <w:rPr>
                <w:rFonts w:eastAsia="Arial"/>
              </w:rPr>
              <w:t>Assets and liabilities that are probable and can be reliably measured</w:t>
            </w:r>
          </w:p>
        </w:tc>
        <w:tc>
          <w:tcPr>
            <w:tcW w:w="2041" w:type="dxa"/>
          </w:tcPr>
          <w:p w14:paraId="06D90BFB" w14:textId="77777777" w:rsidR="00A67E34" w:rsidRPr="00B832E0" w:rsidRDefault="00A67E34" w:rsidP="00042053">
            <w:pPr>
              <w:pStyle w:val="TableTextLeft"/>
              <w:rPr>
                <w:rFonts w:eastAsia="Arial"/>
              </w:rPr>
            </w:pPr>
            <w:r w:rsidRPr="00B832E0">
              <w:rPr>
                <w:rFonts w:eastAsia="Arial"/>
              </w:rPr>
              <w:t>Balance sheet</w:t>
            </w:r>
            <w:r w:rsidRPr="00B832E0">
              <w:rPr>
                <w:rFonts w:eastAsia="Arial"/>
                <w:vertAlign w:val="superscript"/>
              </w:rPr>
              <w:t>(c) (d)</w:t>
            </w:r>
          </w:p>
        </w:tc>
      </w:tr>
      <w:tr w:rsidR="00A67E34" w:rsidRPr="00B832E0" w14:paraId="026DB3E7" w14:textId="77777777" w:rsidTr="00042053">
        <w:trPr>
          <w:trHeight w:val="407"/>
        </w:trPr>
        <w:tc>
          <w:tcPr>
            <w:tcW w:w="2004" w:type="dxa"/>
          </w:tcPr>
          <w:p w14:paraId="462C3FB2" w14:textId="77777777" w:rsidR="00A67E34" w:rsidRPr="00B832E0" w:rsidRDefault="00A67E34" w:rsidP="00042053">
            <w:pPr>
              <w:pStyle w:val="TableTextLeft"/>
              <w:rPr>
                <w:rFonts w:eastAsia="Arial"/>
              </w:rPr>
            </w:pPr>
          </w:p>
        </w:tc>
        <w:tc>
          <w:tcPr>
            <w:tcW w:w="3666" w:type="dxa"/>
          </w:tcPr>
          <w:p w14:paraId="2A947605" w14:textId="77777777" w:rsidR="00A67E34" w:rsidRPr="00B832E0" w:rsidRDefault="00A67E34" w:rsidP="00042053">
            <w:pPr>
              <w:pStyle w:val="TableTextLeft"/>
              <w:rPr>
                <w:rFonts w:eastAsia="Arial"/>
              </w:rPr>
            </w:pPr>
            <w:r w:rsidRPr="00B832E0">
              <w:rPr>
                <w:rFonts w:eastAsia="Arial"/>
              </w:rPr>
              <w:t>Assets and liabilities that are probable but have an uncertain timing or amount (provisions)</w:t>
            </w:r>
          </w:p>
        </w:tc>
        <w:tc>
          <w:tcPr>
            <w:tcW w:w="2041" w:type="dxa"/>
          </w:tcPr>
          <w:p w14:paraId="1C8055F1" w14:textId="77777777" w:rsidR="00A67E34" w:rsidRPr="00B832E0" w:rsidRDefault="00A67E34" w:rsidP="00042053">
            <w:pPr>
              <w:pStyle w:val="TableTextLeft"/>
              <w:rPr>
                <w:rFonts w:eastAsia="Arial"/>
              </w:rPr>
            </w:pPr>
            <w:r w:rsidRPr="00B832E0">
              <w:rPr>
                <w:rFonts w:eastAsia="Arial"/>
              </w:rPr>
              <w:t>Balance sheet</w:t>
            </w:r>
          </w:p>
        </w:tc>
      </w:tr>
    </w:tbl>
    <w:p w14:paraId="459B64FB" w14:textId="2D623A5B" w:rsidR="00A67E34" w:rsidRPr="00B832E0" w:rsidRDefault="00A67E34" w:rsidP="00A67E34">
      <w:pPr>
        <w:pStyle w:val="ChartandTableFootnoteAlpha"/>
      </w:pPr>
      <w:r w:rsidRPr="00B832E0">
        <w:rPr>
          <w:rFonts w:eastAsia="Arial"/>
        </w:rPr>
        <w:t>Items that are described as probable have a 50</w:t>
      </w:r>
      <w:r>
        <w:rPr>
          <w:rFonts w:eastAsia="Arial"/>
        </w:rPr>
        <w:t> per</w:t>
      </w:r>
      <w:r w:rsidR="00903045">
        <w:rPr>
          <w:rFonts w:eastAsia="Arial"/>
        </w:rPr>
        <w:t> </w:t>
      </w:r>
      <w:r>
        <w:rPr>
          <w:rFonts w:eastAsia="Arial"/>
        </w:rPr>
        <w:t>cent </w:t>
      </w:r>
      <w:r w:rsidRPr="00B832E0">
        <w:rPr>
          <w:rFonts w:eastAsia="Arial"/>
        </w:rPr>
        <w:t>or higher chance of</w:t>
      </w:r>
      <w:r w:rsidRPr="00B832E0">
        <w:rPr>
          <w:rFonts w:eastAsia="Arial"/>
          <w:spacing w:val="-15"/>
        </w:rPr>
        <w:t xml:space="preserve"> </w:t>
      </w:r>
      <w:r w:rsidRPr="00B832E0">
        <w:rPr>
          <w:rFonts w:eastAsia="Arial"/>
        </w:rPr>
        <w:t>occurrence.</w:t>
      </w:r>
    </w:p>
    <w:p w14:paraId="757DD6A3" w14:textId="77777777" w:rsidR="00A67E34" w:rsidRPr="00A07FF1" w:rsidRDefault="00A67E34" w:rsidP="00A67E34">
      <w:pPr>
        <w:pStyle w:val="ChartandTableFootnoteAlpha"/>
        <w:rPr>
          <w:rFonts w:eastAsia="Book Antiqua" w:cs="Book Antiqua"/>
          <w:spacing w:val="-1"/>
        </w:rPr>
      </w:pPr>
      <w:r w:rsidRPr="00A07FF1">
        <w:rPr>
          <w:spacing w:val="-1"/>
        </w:rPr>
        <w:t xml:space="preserve">Only risks with a possible impact on the forward estimates greater than $20 million in any one year, or </w:t>
      </w:r>
      <w:r w:rsidRPr="00A07FF1">
        <w:rPr>
          <w:rFonts w:cs="Book Antiqua"/>
          <w:spacing w:val="-1"/>
        </w:rPr>
        <w:t>$50 million over the forward estimates period, are considered material and disclosed in this Statement</w:t>
      </w:r>
      <w:r w:rsidRPr="00A07FF1">
        <w:rPr>
          <w:rFonts w:eastAsia="Book Antiqua" w:cs="Book Antiqua"/>
          <w:spacing w:val="-1"/>
        </w:rPr>
        <w:t>.</w:t>
      </w:r>
    </w:p>
    <w:p w14:paraId="77A019CE" w14:textId="77777777" w:rsidR="00A67E34" w:rsidRPr="00B832E0" w:rsidRDefault="00A67E34" w:rsidP="00A67E34">
      <w:pPr>
        <w:pStyle w:val="ChartandTableFootnoteAlpha"/>
        <w:rPr>
          <w:rFonts w:eastAsia="Arial"/>
        </w:rPr>
      </w:pPr>
      <w:r w:rsidRPr="00B832E0">
        <w:rPr>
          <w:rFonts w:eastAsia="Arial"/>
        </w:rPr>
        <w:t>Unearned income from charging guarantee fees is shown as a liability in the balance</w:t>
      </w:r>
      <w:r w:rsidRPr="00B832E0">
        <w:rPr>
          <w:rFonts w:eastAsia="Arial"/>
          <w:spacing w:val="-13"/>
        </w:rPr>
        <w:t xml:space="preserve"> </w:t>
      </w:r>
      <w:r w:rsidRPr="00B832E0">
        <w:rPr>
          <w:rFonts w:eastAsia="Arial"/>
        </w:rPr>
        <w:t>sheet.</w:t>
      </w:r>
    </w:p>
    <w:p w14:paraId="540AF7EF" w14:textId="77777777" w:rsidR="00A67E34" w:rsidRPr="00B832E0" w:rsidRDefault="00A67E34" w:rsidP="00A67E34">
      <w:pPr>
        <w:pStyle w:val="ChartandTableFootnoteAlpha"/>
        <w:rPr>
          <w:rFonts w:eastAsia="Arial"/>
        </w:rPr>
      </w:pPr>
      <w:r w:rsidRPr="00B832E0">
        <w:rPr>
          <w:rFonts w:eastAsia="Arial"/>
        </w:rPr>
        <w:t>Additional disclosure to increase transparency on loans over $200</w:t>
      </w:r>
      <w:r>
        <w:rPr>
          <w:rFonts w:eastAsia="Arial"/>
        </w:rPr>
        <w:t> million</w:t>
      </w:r>
      <w:r w:rsidRPr="00B832E0">
        <w:rPr>
          <w:rFonts w:eastAsia="Arial"/>
        </w:rPr>
        <w:t xml:space="preserve"> is included in this Statement.</w:t>
      </w:r>
    </w:p>
    <w:p w14:paraId="43D66EA8" w14:textId="77777777" w:rsidR="00A67E34" w:rsidRPr="00B832E0" w:rsidRDefault="00A67E34" w:rsidP="00A67E34">
      <w:pPr>
        <w:pStyle w:val="ChartLine"/>
        <w:rPr>
          <w:rFonts w:eastAsia="Arial"/>
        </w:rPr>
      </w:pPr>
    </w:p>
    <w:p w14:paraId="145FECEA" w14:textId="77777777" w:rsidR="00A67E34" w:rsidRPr="006460F9" w:rsidRDefault="00A67E34" w:rsidP="00A67E34">
      <w:r w:rsidRPr="006460F9">
        <w:br w:type="page"/>
      </w:r>
    </w:p>
    <w:p w14:paraId="5D7C59DB" w14:textId="77777777" w:rsidR="004D0F65" w:rsidRPr="00C07FB5" w:rsidRDefault="004D0F65" w:rsidP="00725E26">
      <w:pPr>
        <w:pStyle w:val="TableHeading"/>
        <w:rPr>
          <w:rFonts w:eastAsia="Arial"/>
        </w:rPr>
      </w:pPr>
      <w:bookmarkStart w:id="11" w:name="_Toc99141851"/>
      <w:bookmarkStart w:id="12" w:name="_Toc71117801"/>
      <w:r w:rsidRPr="00D13C64">
        <w:rPr>
          <w:rFonts w:eastAsia="Arial"/>
        </w:rPr>
        <w:lastRenderedPageBreak/>
        <w:t xml:space="preserve">Table </w:t>
      </w:r>
      <w:r>
        <w:rPr>
          <w:rFonts w:eastAsia="Arial"/>
        </w:rPr>
        <w:t>9</w:t>
      </w:r>
      <w:r w:rsidRPr="00D13C64">
        <w:rPr>
          <w:rFonts w:eastAsia="Arial"/>
        </w:rPr>
        <w:t>.2: Summary</w:t>
      </w:r>
      <w:r w:rsidRPr="006C4EA4">
        <w:rPr>
          <w:rFonts w:eastAsia="Arial"/>
        </w:rPr>
        <w:t xml:space="preserve"> </w:t>
      </w:r>
      <w:r w:rsidRPr="00C07FB5">
        <w:rPr>
          <w:rFonts w:eastAsia="Arial"/>
        </w:rPr>
        <w:t xml:space="preserve">of </w:t>
      </w:r>
      <w:r>
        <w:rPr>
          <w:rFonts w:eastAsia="Arial"/>
        </w:rPr>
        <w:t xml:space="preserve">fiscal risks, </w:t>
      </w:r>
      <w:r w:rsidRPr="00C07FB5">
        <w:rPr>
          <w:rFonts w:eastAsia="Arial"/>
        </w:rPr>
        <w:t xml:space="preserve">contingent liabilities and contingent assets in the Statement of </w:t>
      </w:r>
      <w:r w:rsidRPr="00725E26">
        <w:rPr>
          <w:rFonts w:eastAsia="Arial"/>
        </w:rPr>
        <w:t>Risks</w:t>
      </w:r>
      <w:r w:rsidRPr="00C07FB5">
        <w:rPr>
          <w:rFonts w:eastAsia="Arial"/>
          <w:vertAlign w:val="superscript"/>
        </w:rPr>
        <w:t>(a)</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68"/>
        <w:gridCol w:w="1143"/>
      </w:tblGrid>
      <w:tr w:rsidR="004D0F65" w:rsidRPr="00F734D4" w14:paraId="49F477B0" w14:textId="77777777" w:rsidTr="00042053">
        <w:trPr>
          <w:trHeight w:val="228"/>
        </w:trPr>
        <w:tc>
          <w:tcPr>
            <w:tcW w:w="4259" w:type="pct"/>
            <w:shd w:val="clear" w:color="auto" w:fill="E6F2FF"/>
            <w:noWrap/>
          </w:tcPr>
          <w:p w14:paraId="069015D5" w14:textId="77777777" w:rsidR="004D0F65" w:rsidRPr="00F734D4" w:rsidRDefault="004D0F65" w:rsidP="0049218B">
            <w:pPr>
              <w:pStyle w:val="TableColumnHeadingLeft"/>
              <w:rPr>
                <w:rFonts w:eastAsia="Calibri"/>
              </w:rPr>
            </w:pPr>
            <w:r w:rsidRPr="00F734D4">
              <w:rPr>
                <w:rFonts w:eastAsia="Calibri"/>
              </w:rPr>
              <w:t xml:space="preserve">Agriculture, </w:t>
            </w:r>
            <w:r w:rsidRPr="0049218B">
              <w:rPr>
                <w:rFonts w:eastAsia="Calibri"/>
              </w:rPr>
              <w:t>Fisheries</w:t>
            </w:r>
            <w:r w:rsidRPr="00F734D4">
              <w:rPr>
                <w:rFonts w:eastAsia="Calibri"/>
              </w:rPr>
              <w:t xml:space="preserve"> and Forestry</w:t>
            </w:r>
          </w:p>
        </w:tc>
        <w:tc>
          <w:tcPr>
            <w:tcW w:w="741" w:type="pct"/>
            <w:shd w:val="clear" w:color="auto" w:fill="E6F2FF"/>
            <w:noWrap/>
          </w:tcPr>
          <w:p w14:paraId="60A235BD" w14:textId="77777777" w:rsidR="004D0F65" w:rsidRPr="00F734D4" w:rsidRDefault="004D0F65" w:rsidP="009C78D7">
            <w:pPr>
              <w:pStyle w:val="TableColumnHeadingLeft"/>
            </w:pPr>
            <w:r w:rsidRPr="009C78D7">
              <w:t>Status</w:t>
            </w:r>
          </w:p>
        </w:tc>
      </w:tr>
      <w:tr w:rsidR="004D0F65" w:rsidRPr="00F734D4" w14:paraId="3E89FAAD" w14:textId="77777777" w:rsidTr="00042053">
        <w:trPr>
          <w:trHeight w:val="227"/>
        </w:trPr>
        <w:tc>
          <w:tcPr>
            <w:tcW w:w="4259" w:type="pct"/>
            <w:shd w:val="clear" w:color="auto" w:fill="E6F2FF"/>
            <w:noWrap/>
          </w:tcPr>
          <w:p w14:paraId="42A08795" w14:textId="77777777" w:rsidR="004D0F65" w:rsidRPr="00F734D4" w:rsidRDefault="004D0F65" w:rsidP="0049218B">
            <w:pPr>
              <w:pStyle w:val="TableColumnHeadingLeft"/>
              <w:rPr>
                <w:rFonts w:eastAsia="Calibri"/>
              </w:rPr>
            </w:pPr>
            <w:r w:rsidRPr="00F734D4">
              <w:rPr>
                <w:rFonts w:eastAsia="Calibri"/>
              </w:rPr>
              <w:t xml:space="preserve">Contingent </w:t>
            </w:r>
            <w:r w:rsidRPr="0049218B">
              <w:rPr>
                <w:rFonts w:eastAsia="Calibri"/>
              </w:rPr>
              <w:t>liabilities</w:t>
            </w:r>
            <w:r w:rsidRPr="00F734D4">
              <w:rPr>
                <w:rFonts w:eastAsia="Calibri"/>
              </w:rPr>
              <w:t xml:space="preserve"> </w:t>
            </w:r>
            <w:r>
              <w:rPr>
                <w:rFonts w:eastAsia="Calibri"/>
              </w:rPr>
              <w:t>–</w:t>
            </w:r>
            <w:r w:rsidRPr="00F734D4">
              <w:rPr>
                <w:rFonts w:eastAsia="Calibri"/>
              </w:rPr>
              <w:t xml:space="preserve"> unquantifiable</w:t>
            </w:r>
          </w:p>
        </w:tc>
        <w:tc>
          <w:tcPr>
            <w:tcW w:w="741" w:type="pct"/>
            <w:shd w:val="clear" w:color="auto" w:fill="E6F2FF"/>
            <w:noWrap/>
          </w:tcPr>
          <w:p w14:paraId="237E4782" w14:textId="77777777" w:rsidR="004D0F65" w:rsidRPr="00F734D4" w:rsidRDefault="004D0F65" w:rsidP="009B056E">
            <w:pPr>
              <w:pStyle w:val="TableTextRight"/>
              <w:keepNext/>
              <w:spacing w:before="100" w:beforeAutospacing="1" w:after="0"/>
              <w:rPr>
                <w:b/>
                <w:bCs/>
              </w:rPr>
            </w:pPr>
          </w:p>
        </w:tc>
      </w:tr>
      <w:tr w:rsidR="004D0F65" w:rsidRPr="00F734D4" w14:paraId="442FCEC0" w14:textId="77777777" w:rsidTr="00042053">
        <w:trPr>
          <w:trHeight w:val="227"/>
        </w:trPr>
        <w:tc>
          <w:tcPr>
            <w:tcW w:w="4259" w:type="pct"/>
            <w:noWrap/>
          </w:tcPr>
          <w:p w14:paraId="4E629E61" w14:textId="77777777" w:rsidR="004D0F65" w:rsidRPr="00F734D4" w:rsidRDefault="004D0F65" w:rsidP="009B056E">
            <w:pPr>
              <w:pStyle w:val="TableTextLeft-Indent"/>
              <w:keepNext/>
              <w:spacing w:before="100" w:beforeAutospacing="1"/>
            </w:pPr>
            <w:r w:rsidRPr="00F734D4">
              <w:t>Commonwealth liabilities in respect of matching payments to industries for research</w:t>
            </w:r>
            <w:r>
              <w:t> </w:t>
            </w:r>
            <w:r w:rsidRPr="00F734D4">
              <w:t>and development contributions</w:t>
            </w:r>
          </w:p>
        </w:tc>
        <w:tc>
          <w:tcPr>
            <w:tcW w:w="741" w:type="pct"/>
            <w:noWrap/>
          </w:tcPr>
          <w:p w14:paraId="3862DFC8" w14:textId="77777777" w:rsidR="004D0F65" w:rsidRPr="00F734D4" w:rsidRDefault="004D0F65" w:rsidP="009B056E">
            <w:pPr>
              <w:pStyle w:val="TableTextLeft"/>
              <w:keepNext/>
              <w:spacing w:before="100" w:beforeAutospacing="1"/>
            </w:pPr>
            <w:r w:rsidRPr="00F734D4">
              <w:t>Unchanged</w:t>
            </w:r>
          </w:p>
        </w:tc>
      </w:tr>
      <w:tr w:rsidR="004D0F65" w:rsidRPr="00F734D4" w14:paraId="4CC06CE8" w14:textId="77777777" w:rsidTr="00042053">
        <w:trPr>
          <w:trHeight w:val="227"/>
        </w:trPr>
        <w:tc>
          <w:tcPr>
            <w:tcW w:w="4259" w:type="pct"/>
            <w:noWrap/>
          </w:tcPr>
          <w:p w14:paraId="791B8672" w14:textId="77777777" w:rsidR="004D0F65" w:rsidRPr="00F734D4" w:rsidRDefault="004D0F65" w:rsidP="009B056E">
            <w:pPr>
              <w:pStyle w:val="TableTextLeft-Indent"/>
              <w:keepNext/>
              <w:spacing w:before="100" w:beforeAutospacing="1" w:after="0"/>
            </w:pPr>
            <w:r w:rsidRPr="00F734D4">
              <w:t>Emergency pest and disease response arrangements</w:t>
            </w:r>
          </w:p>
        </w:tc>
        <w:tc>
          <w:tcPr>
            <w:tcW w:w="741" w:type="pct"/>
            <w:noWrap/>
          </w:tcPr>
          <w:p w14:paraId="3001B66E" w14:textId="77777777" w:rsidR="004D0F65" w:rsidRPr="00F734D4" w:rsidRDefault="004D0F65" w:rsidP="009B056E">
            <w:pPr>
              <w:pStyle w:val="TableTextLeft"/>
              <w:keepNext/>
              <w:spacing w:before="100" w:beforeAutospacing="1"/>
            </w:pPr>
            <w:r w:rsidRPr="00F734D4">
              <w:t>Modified</w:t>
            </w:r>
          </w:p>
        </w:tc>
      </w:tr>
      <w:tr w:rsidR="004D0F65" w:rsidRPr="00F734D4" w14:paraId="0EF1D3F4" w14:textId="77777777" w:rsidTr="00042053">
        <w:trPr>
          <w:trHeight w:val="227"/>
        </w:trPr>
        <w:tc>
          <w:tcPr>
            <w:tcW w:w="4259" w:type="pct"/>
            <w:noWrap/>
          </w:tcPr>
          <w:p w14:paraId="0D1EDD0C" w14:textId="77777777" w:rsidR="004D0F65" w:rsidRPr="00F734D4" w:rsidRDefault="004D0F65" w:rsidP="009B056E">
            <w:pPr>
              <w:pStyle w:val="TableTextLeft-Indent"/>
              <w:keepNext/>
              <w:spacing w:before="100" w:beforeAutospacing="1" w:after="0"/>
            </w:pPr>
            <w:r w:rsidRPr="00F734D4">
              <w:t>White spot syndrome virus and disease 2016 outbreak</w:t>
            </w:r>
          </w:p>
        </w:tc>
        <w:tc>
          <w:tcPr>
            <w:tcW w:w="741" w:type="pct"/>
            <w:noWrap/>
          </w:tcPr>
          <w:p w14:paraId="7412C3E3" w14:textId="77777777" w:rsidR="004D0F65" w:rsidRPr="00F734D4" w:rsidRDefault="004D0F65" w:rsidP="009B056E">
            <w:pPr>
              <w:pStyle w:val="TableTextLeft"/>
              <w:keepNext/>
              <w:spacing w:before="100" w:beforeAutospacing="1"/>
            </w:pPr>
            <w:r>
              <w:t>Unchanged</w:t>
            </w:r>
          </w:p>
        </w:tc>
      </w:tr>
      <w:tr w:rsidR="004D0F65" w:rsidRPr="00F734D4" w14:paraId="52C0D934" w14:textId="77777777" w:rsidTr="00042053">
        <w:trPr>
          <w:trHeight w:val="228"/>
        </w:trPr>
        <w:tc>
          <w:tcPr>
            <w:tcW w:w="4259" w:type="pct"/>
            <w:shd w:val="clear" w:color="auto" w:fill="E6F2FF"/>
            <w:noWrap/>
          </w:tcPr>
          <w:p w14:paraId="6E5CEE1C" w14:textId="61B37B36" w:rsidR="004D0F65" w:rsidRPr="0049218B" w:rsidRDefault="004D0F65" w:rsidP="0049218B">
            <w:pPr>
              <w:pStyle w:val="TableColumnHeadingLeft"/>
            </w:pPr>
            <w:r w:rsidRPr="00F734D4">
              <w:t>Attorney</w:t>
            </w:r>
            <w:r w:rsidR="00D737F9">
              <w:noBreakHyphen/>
            </w:r>
            <w:r w:rsidRPr="00F734D4">
              <w:t>General</w:t>
            </w:r>
            <w:r w:rsidR="00D737F9">
              <w:t>’</w:t>
            </w:r>
            <w:r w:rsidRPr="00F734D4">
              <w:t>s</w:t>
            </w:r>
          </w:p>
        </w:tc>
        <w:tc>
          <w:tcPr>
            <w:tcW w:w="741" w:type="pct"/>
            <w:shd w:val="clear" w:color="auto" w:fill="E6F2FF"/>
            <w:noWrap/>
          </w:tcPr>
          <w:p w14:paraId="7E27AA65" w14:textId="77777777" w:rsidR="004D0F65" w:rsidRPr="00F734D4" w:rsidRDefault="004D0F65" w:rsidP="009C78D7">
            <w:pPr>
              <w:pStyle w:val="TableColumnHeadingLeft"/>
            </w:pPr>
            <w:r w:rsidRPr="009C78D7">
              <w:t>Status</w:t>
            </w:r>
          </w:p>
        </w:tc>
      </w:tr>
      <w:tr w:rsidR="004D0F65" w:rsidRPr="00F734D4" w14:paraId="77492654" w14:textId="77777777" w:rsidTr="00042053">
        <w:trPr>
          <w:trHeight w:val="228"/>
        </w:trPr>
        <w:tc>
          <w:tcPr>
            <w:tcW w:w="4259" w:type="pct"/>
            <w:shd w:val="clear" w:color="auto" w:fill="E6F2FF"/>
            <w:noWrap/>
          </w:tcPr>
          <w:p w14:paraId="4B598B1D" w14:textId="77777777" w:rsidR="004D0F65" w:rsidRPr="00F734D4" w:rsidRDefault="004D0F65" w:rsidP="0049218B">
            <w:pPr>
              <w:pStyle w:val="TableColumnHeadingLeft"/>
              <w:rPr>
                <w:rFonts w:eastAsia="Arial"/>
              </w:rPr>
            </w:pPr>
            <w:r w:rsidRPr="00F734D4">
              <w:rPr>
                <w:rFonts w:eastAsia="Arial"/>
              </w:rPr>
              <w:t xml:space="preserve">Significant but remote </w:t>
            </w:r>
            <w:r w:rsidRPr="0049218B">
              <w:rPr>
                <w:rFonts w:eastAsia="Arial"/>
              </w:rPr>
              <w:t>contingency</w:t>
            </w:r>
          </w:p>
        </w:tc>
        <w:tc>
          <w:tcPr>
            <w:tcW w:w="741" w:type="pct"/>
            <w:shd w:val="clear" w:color="auto" w:fill="E6F2FF"/>
            <w:noWrap/>
          </w:tcPr>
          <w:p w14:paraId="453AAE9A" w14:textId="77777777" w:rsidR="004D0F65" w:rsidRPr="00F734D4" w:rsidRDefault="004D0F65" w:rsidP="009B056E">
            <w:pPr>
              <w:pStyle w:val="TableTextLeft"/>
              <w:keepNext/>
              <w:spacing w:before="100" w:beforeAutospacing="1"/>
            </w:pPr>
          </w:p>
        </w:tc>
      </w:tr>
      <w:tr w:rsidR="004D0F65" w:rsidRPr="00F734D4" w14:paraId="295D9D6C" w14:textId="77777777" w:rsidTr="00042053">
        <w:trPr>
          <w:trHeight w:val="228"/>
        </w:trPr>
        <w:tc>
          <w:tcPr>
            <w:tcW w:w="4259" w:type="pct"/>
            <w:shd w:val="clear" w:color="auto" w:fill="auto"/>
            <w:noWrap/>
          </w:tcPr>
          <w:p w14:paraId="4C50634B" w14:textId="77777777" w:rsidR="004D0F65" w:rsidRPr="00F734D4" w:rsidRDefault="004D0F65" w:rsidP="009B056E">
            <w:pPr>
              <w:pStyle w:val="TableTextLeft-Indent"/>
              <w:keepNext/>
              <w:spacing w:before="100" w:beforeAutospacing="1" w:after="0"/>
              <w:rPr>
                <w:rFonts w:eastAsia="Arial" w:cs="Arial"/>
                <w:b/>
                <w:bCs/>
              </w:rPr>
            </w:pPr>
            <w:r w:rsidRPr="00F734D4">
              <w:t>Indemnities relating to the Air Security Officer Capability</w:t>
            </w:r>
          </w:p>
        </w:tc>
        <w:tc>
          <w:tcPr>
            <w:tcW w:w="741" w:type="pct"/>
            <w:shd w:val="clear" w:color="auto" w:fill="auto"/>
            <w:noWrap/>
          </w:tcPr>
          <w:p w14:paraId="42FE1AF9" w14:textId="77777777" w:rsidR="004D0F65" w:rsidRPr="00F734D4" w:rsidRDefault="004D0F65" w:rsidP="009B056E">
            <w:pPr>
              <w:pStyle w:val="TableTextLeft"/>
              <w:keepNext/>
              <w:spacing w:before="100" w:beforeAutospacing="1"/>
              <w:rPr>
                <w:b/>
                <w:bCs/>
              </w:rPr>
            </w:pPr>
            <w:r w:rsidRPr="00F734D4">
              <w:t>Unchanged</w:t>
            </w:r>
          </w:p>
        </w:tc>
      </w:tr>
      <w:tr w:rsidR="004D0F65" w:rsidRPr="00F734D4" w14:paraId="5B395C20" w14:textId="77777777" w:rsidTr="00042053">
        <w:trPr>
          <w:trHeight w:val="228"/>
        </w:trPr>
        <w:tc>
          <w:tcPr>
            <w:tcW w:w="4259" w:type="pct"/>
            <w:shd w:val="clear" w:color="auto" w:fill="E6F2FF"/>
            <w:noWrap/>
          </w:tcPr>
          <w:p w14:paraId="076CFF58" w14:textId="77777777" w:rsidR="004D0F65" w:rsidRPr="00F734D4" w:rsidRDefault="004D0F65" w:rsidP="0049218B">
            <w:pPr>
              <w:pStyle w:val="TableColumnHeadingLeft"/>
              <w:rPr>
                <w:rFonts w:eastAsia="Arial"/>
              </w:rPr>
            </w:pPr>
            <w:r w:rsidRPr="00F734D4">
              <w:rPr>
                <w:rFonts w:eastAsia="Arial"/>
              </w:rPr>
              <w:t xml:space="preserve">Contingent </w:t>
            </w:r>
            <w:r w:rsidRPr="0049218B">
              <w:rPr>
                <w:rFonts w:eastAsia="Arial"/>
              </w:rPr>
              <w:t>liabilities</w:t>
            </w:r>
            <w:r w:rsidRPr="00F734D4">
              <w:rPr>
                <w:rFonts w:eastAsia="Arial"/>
              </w:rPr>
              <w:t xml:space="preserve"> – unquantifiable</w:t>
            </w:r>
          </w:p>
        </w:tc>
        <w:tc>
          <w:tcPr>
            <w:tcW w:w="741" w:type="pct"/>
            <w:shd w:val="clear" w:color="auto" w:fill="E6F2FF"/>
            <w:noWrap/>
          </w:tcPr>
          <w:p w14:paraId="7B8C94E7" w14:textId="77777777" w:rsidR="004D0F65" w:rsidRPr="00F734D4" w:rsidRDefault="004D0F65" w:rsidP="009B056E">
            <w:pPr>
              <w:pStyle w:val="TableTextLeft"/>
              <w:keepNext/>
              <w:spacing w:before="100" w:beforeAutospacing="1"/>
            </w:pPr>
          </w:p>
        </w:tc>
      </w:tr>
      <w:tr w:rsidR="004D0F65" w:rsidRPr="00F734D4" w14:paraId="2CEEB7E0" w14:textId="77777777" w:rsidTr="00042053">
        <w:trPr>
          <w:trHeight w:val="228"/>
        </w:trPr>
        <w:tc>
          <w:tcPr>
            <w:tcW w:w="4259" w:type="pct"/>
            <w:shd w:val="clear" w:color="auto" w:fill="auto"/>
            <w:noWrap/>
          </w:tcPr>
          <w:p w14:paraId="42901B5B" w14:textId="77777777" w:rsidR="004D0F65" w:rsidRPr="00F734D4" w:rsidRDefault="004D0F65" w:rsidP="009B056E">
            <w:pPr>
              <w:pStyle w:val="TableTextLeft-Indent"/>
              <w:keepNext/>
              <w:spacing w:before="100" w:beforeAutospacing="1" w:after="0"/>
            </w:pPr>
            <w:r w:rsidRPr="00F734D4">
              <w:t>Native Title costs</w:t>
            </w:r>
          </w:p>
        </w:tc>
        <w:tc>
          <w:tcPr>
            <w:tcW w:w="741" w:type="pct"/>
            <w:shd w:val="clear" w:color="auto" w:fill="auto"/>
            <w:noWrap/>
          </w:tcPr>
          <w:p w14:paraId="2D7642D5" w14:textId="77777777" w:rsidR="004D0F65" w:rsidRPr="00F734D4" w:rsidRDefault="004D0F65" w:rsidP="009B056E">
            <w:pPr>
              <w:pStyle w:val="TableTextLeft"/>
              <w:keepNext/>
              <w:spacing w:before="100" w:beforeAutospacing="1"/>
            </w:pPr>
            <w:r w:rsidRPr="00F734D4">
              <w:t>Unchanged</w:t>
            </w:r>
          </w:p>
        </w:tc>
      </w:tr>
      <w:tr w:rsidR="004D0F65" w:rsidRPr="00F734D4" w14:paraId="342C03D3" w14:textId="77777777" w:rsidTr="00042053">
        <w:trPr>
          <w:trHeight w:val="228"/>
        </w:trPr>
        <w:tc>
          <w:tcPr>
            <w:tcW w:w="4259" w:type="pct"/>
            <w:shd w:val="clear" w:color="auto" w:fill="auto"/>
            <w:noWrap/>
          </w:tcPr>
          <w:p w14:paraId="5D10E5B0" w14:textId="32DC0640" w:rsidR="004D0F65" w:rsidRPr="00F734D4" w:rsidRDefault="004D0F65" w:rsidP="009B056E">
            <w:pPr>
              <w:pStyle w:val="TableTextLeft-Indent"/>
              <w:keepNext/>
              <w:spacing w:before="100" w:beforeAutospacing="1" w:after="0"/>
            </w:pPr>
            <w:r>
              <w:t>Current and p</w:t>
            </w:r>
            <w:r w:rsidRPr="00F734D4">
              <w:t>rospective investor</w:t>
            </w:r>
            <w:r w:rsidR="00D737F9">
              <w:noBreakHyphen/>
            </w:r>
            <w:r>
              <w:t>s</w:t>
            </w:r>
            <w:r w:rsidRPr="00F734D4">
              <w:t>tate claim</w:t>
            </w:r>
            <w:r>
              <w:t>s</w:t>
            </w:r>
            <w:r w:rsidRPr="00F734D4">
              <w:t xml:space="preserve"> against </w:t>
            </w:r>
            <w:r w:rsidR="0005067C">
              <w:t xml:space="preserve">the </w:t>
            </w:r>
            <w:r w:rsidRPr="00F734D4">
              <w:t>Australia</w:t>
            </w:r>
            <w:r w:rsidR="0005067C">
              <w:t>n Government</w:t>
            </w:r>
          </w:p>
        </w:tc>
        <w:tc>
          <w:tcPr>
            <w:tcW w:w="741" w:type="pct"/>
            <w:shd w:val="clear" w:color="auto" w:fill="auto"/>
            <w:noWrap/>
          </w:tcPr>
          <w:p w14:paraId="6C487E8E" w14:textId="77777777" w:rsidR="004D0F65" w:rsidRPr="00F734D4" w:rsidRDefault="004D0F65" w:rsidP="009B056E">
            <w:pPr>
              <w:pStyle w:val="TableTextLeft"/>
              <w:keepNext/>
              <w:spacing w:before="100" w:beforeAutospacing="1"/>
            </w:pPr>
            <w:r>
              <w:t>Modified</w:t>
            </w:r>
          </w:p>
        </w:tc>
      </w:tr>
      <w:tr w:rsidR="004D0F65" w:rsidRPr="00F734D4" w14:paraId="4134795C" w14:textId="77777777" w:rsidTr="00042053">
        <w:trPr>
          <w:trHeight w:val="228"/>
        </w:trPr>
        <w:tc>
          <w:tcPr>
            <w:tcW w:w="4259" w:type="pct"/>
            <w:shd w:val="clear" w:color="auto" w:fill="E6F2FF"/>
            <w:noWrap/>
          </w:tcPr>
          <w:p w14:paraId="179B8168" w14:textId="77777777" w:rsidR="004D0F65" w:rsidRPr="00F734D4" w:rsidRDefault="004D0F65" w:rsidP="0049218B">
            <w:pPr>
              <w:pStyle w:val="TableColumnHeadingLeft"/>
            </w:pPr>
            <w:r w:rsidRPr="00F734D4">
              <w:t xml:space="preserve">Contingent asset </w:t>
            </w:r>
            <w:r w:rsidRPr="00F734D4">
              <w:rPr>
                <w:rFonts w:eastAsia="Calibri"/>
              </w:rPr>
              <w:t>–</w:t>
            </w:r>
            <w:r w:rsidRPr="00F734D4">
              <w:t xml:space="preserve"> unquantifiable</w:t>
            </w:r>
          </w:p>
        </w:tc>
        <w:tc>
          <w:tcPr>
            <w:tcW w:w="741" w:type="pct"/>
            <w:shd w:val="clear" w:color="auto" w:fill="E6F2FF"/>
            <w:noWrap/>
          </w:tcPr>
          <w:p w14:paraId="43C03EC2" w14:textId="77777777" w:rsidR="004D0F65" w:rsidRPr="00F734D4" w:rsidRDefault="004D0F65" w:rsidP="009B056E">
            <w:pPr>
              <w:pStyle w:val="TableTextLeft"/>
              <w:keepNext/>
              <w:spacing w:before="100" w:beforeAutospacing="1"/>
            </w:pPr>
          </w:p>
        </w:tc>
      </w:tr>
      <w:tr w:rsidR="004D0F65" w:rsidRPr="00F734D4" w14:paraId="504B323E" w14:textId="77777777" w:rsidTr="00042053">
        <w:trPr>
          <w:trHeight w:val="228"/>
        </w:trPr>
        <w:tc>
          <w:tcPr>
            <w:tcW w:w="4259" w:type="pct"/>
            <w:shd w:val="clear" w:color="auto" w:fill="auto"/>
            <w:noWrap/>
          </w:tcPr>
          <w:p w14:paraId="152092F2" w14:textId="7FE3D728" w:rsidR="004D0F65" w:rsidRPr="00F734D4" w:rsidRDefault="004D0F65" w:rsidP="009B056E">
            <w:pPr>
              <w:pStyle w:val="TableTextLeft-Indent"/>
              <w:keepNext/>
              <w:spacing w:before="100" w:beforeAutospacing="1" w:after="0"/>
              <w:rPr>
                <w:rFonts w:ascii="Arial Bold" w:hAnsi="Arial Bold"/>
                <w:b/>
                <w:bCs/>
              </w:rPr>
            </w:pPr>
            <w:r w:rsidRPr="00F734D4">
              <w:rPr>
                <w:rFonts w:cs="Arial"/>
              </w:rPr>
              <w:t xml:space="preserve">Civil </w:t>
            </w:r>
            <w:r w:rsidRPr="00F734D4">
              <w:t>penalty</w:t>
            </w:r>
            <w:r w:rsidRPr="00F734D4">
              <w:rPr>
                <w:rFonts w:cs="Arial"/>
              </w:rPr>
              <w:t xml:space="preserve"> relating to the </w:t>
            </w:r>
            <w:r w:rsidRPr="00F734D4">
              <w:rPr>
                <w:rFonts w:cs="Arial"/>
                <w:i/>
              </w:rPr>
              <w:t>Anti</w:t>
            </w:r>
            <w:r w:rsidR="00D737F9">
              <w:rPr>
                <w:rFonts w:cs="Arial"/>
                <w:i/>
              </w:rPr>
              <w:noBreakHyphen/>
            </w:r>
            <w:r w:rsidRPr="00F734D4">
              <w:rPr>
                <w:rFonts w:cs="Arial"/>
                <w:i/>
              </w:rPr>
              <w:t>Money Laundering and Counter</w:t>
            </w:r>
            <w:r w:rsidR="00D737F9">
              <w:rPr>
                <w:rFonts w:cs="Arial"/>
                <w:i/>
              </w:rPr>
              <w:noBreakHyphen/>
            </w:r>
            <w:r w:rsidRPr="00F734D4">
              <w:rPr>
                <w:rFonts w:cs="Arial"/>
                <w:i/>
              </w:rPr>
              <w:t>Terrorism Financing</w:t>
            </w:r>
            <w:r>
              <w:rPr>
                <w:rFonts w:cs="Arial"/>
                <w:i/>
              </w:rPr>
              <w:t> </w:t>
            </w:r>
            <w:r w:rsidRPr="00F734D4">
              <w:rPr>
                <w:rFonts w:cs="Arial"/>
                <w:i/>
              </w:rPr>
              <w:t>Act</w:t>
            </w:r>
            <w:r>
              <w:rPr>
                <w:rFonts w:cs="Arial"/>
                <w:i/>
              </w:rPr>
              <w:t> </w:t>
            </w:r>
            <w:r w:rsidRPr="00F734D4">
              <w:rPr>
                <w:rFonts w:cs="Arial"/>
                <w:i/>
              </w:rPr>
              <w:t>2006</w:t>
            </w:r>
          </w:p>
        </w:tc>
        <w:tc>
          <w:tcPr>
            <w:tcW w:w="741" w:type="pct"/>
            <w:shd w:val="clear" w:color="auto" w:fill="auto"/>
            <w:noWrap/>
          </w:tcPr>
          <w:p w14:paraId="1DB1FD32" w14:textId="77777777" w:rsidR="004D0F65" w:rsidRPr="00F734D4" w:rsidRDefault="004D0F65" w:rsidP="009B056E">
            <w:pPr>
              <w:pStyle w:val="TableTextLeft"/>
              <w:keepNext/>
              <w:spacing w:before="100" w:beforeAutospacing="1"/>
              <w:rPr>
                <w:b/>
                <w:bCs/>
              </w:rPr>
            </w:pPr>
            <w:r>
              <w:t>Modifie</w:t>
            </w:r>
            <w:r w:rsidRPr="00F734D4">
              <w:t>d</w:t>
            </w:r>
          </w:p>
        </w:tc>
      </w:tr>
      <w:tr w:rsidR="004D0F65" w:rsidRPr="00F734D4" w14:paraId="488790AD" w14:textId="77777777" w:rsidTr="00042053">
        <w:trPr>
          <w:trHeight w:val="228"/>
        </w:trPr>
        <w:tc>
          <w:tcPr>
            <w:tcW w:w="4259" w:type="pct"/>
            <w:shd w:val="clear" w:color="auto" w:fill="E6F2FF"/>
            <w:noWrap/>
          </w:tcPr>
          <w:p w14:paraId="6FD34E82" w14:textId="77777777" w:rsidR="004D0F65" w:rsidRPr="00F734D4" w:rsidRDefault="004D0F65" w:rsidP="0049218B">
            <w:pPr>
              <w:pStyle w:val="TableColumnHeadingLeft"/>
            </w:pPr>
            <w:r w:rsidRPr="00F734D4">
              <w:t xml:space="preserve">Climate Change, </w:t>
            </w:r>
            <w:r w:rsidRPr="0049218B">
              <w:t>Energy</w:t>
            </w:r>
            <w:r w:rsidRPr="00F734D4">
              <w:t>, the Environment and Water</w:t>
            </w:r>
          </w:p>
        </w:tc>
        <w:tc>
          <w:tcPr>
            <w:tcW w:w="741" w:type="pct"/>
            <w:shd w:val="clear" w:color="auto" w:fill="E6F2FF"/>
            <w:noWrap/>
          </w:tcPr>
          <w:p w14:paraId="1877D733" w14:textId="77777777" w:rsidR="004D0F65" w:rsidRPr="00F734D4" w:rsidRDefault="004D0F65" w:rsidP="009C78D7">
            <w:pPr>
              <w:pStyle w:val="TableColumnHeadingLeft"/>
            </w:pPr>
            <w:r w:rsidRPr="009C78D7">
              <w:t>Status</w:t>
            </w:r>
          </w:p>
        </w:tc>
      </w:tr>
      <w:tr w:rsidR="004D0F65" w:rsidRPr="00F734D4" w14:paraId="028A52EB" w14:textId="77777777" w:rsidTr="00042053">
        <w:trPr>
          <w:trHeight w:val="228"/>
        </w:trPr>
        <w:tc>
          <w:tcPr>
            <w:tcW w:w="4259" w:type="pct"/>
            <w:shd w:val="clear" w:color="auto" w:fill="E6F2FF"/>
            <w:noWrap/>
          </w:tcPr>
          <w:p w14:paraId="13C60BD3" w14:textId="77777777" w:rsidR="004D0F65" w:rsidRPr="0049218B" w:rsidRDefault="004D0F65" w:rsidP="0049218B">
            <w:pPr>
              <w:pStyle w:val="TableColumnHeadingLeft"/>
            </w:pPr>
            <w:r w:rsidRPr="00F734D4">
              <w:t>Fiscal Risk</w:t>
            </w:r>
          </w:p>
        </w:tc>
        <w:tc>
          <w:tcPr>
            <w:tcW w:w="741" w:type="pct"/>
            <w:shd w:val="clear" w:color="auto" w:fill="E6F2FF"/>
            <w:noWrap/>
          </w:tcPr>
          <w:p w14:paraId="2FC0625D" w14:textId="77777777" w:rsidR="004D0F65" w:rsidRPr="00F734D4" w:rsidRDefault="004D0F65" w:rsidP="009B056E">
            <w:pPr>
              <w:pStyle w:val="TableTextLeft"/>
              <w:keepNext/>
              <w:spacing w:before="100" w:beforeAutospacing="1"/>
            </w:pPr>
          </w:p>
        </w:tc>
      </w:tr>
      <w:tr w:rsidR="004D0F65" w:rsidRPr="00F734D4" w14:paraId="3E1C6783" w14:textId="77777777" w:rsidTr="00042053">
        <w:trPr>
          <w:trHeight w:val="228"/>
        </w:trPr>
        <w:tc>
          <w:tcPr>
            <w:tcW w:w="4259" w:type="pct"/>
            <w:shd w:val="clear" w:color="auto" w:fill="auto"/>
            <w:noWrap/>
          </w:tcPr>
          <w:p w14:paraId="0F9BBFA4" w14:textId="041DC184" w:rsidR="004D0F65" w:rsidRPr="00F734D4" w:rsidRDefault="004D0F65" w:rsidP="009B056E">
            <w:pPr>
              <w:pStyle w:val="TableTextLeft-Indent"/>
              <w:keepNext/>
              <w:spacing w:before="100" w:beforeAutospacing="1" w:after="0"/>
            </w:pPr>
            <w:r w:rsidRPr="00F734D4">
              <w:t>Snowy Hydro Limited</w:t>
            </w:r>
          </w:p>
        </w:tc>
        <w:tc>
          <w:tcPr>
            <w:tcW w:w="741" w:type="pct"/>
            <w:shd w:val="clear" w:color="auto" w:fill="auto"/>
            <w:noWrap/>
          </w:tcPr>
          <w:p w14:paraId="6513A7E2" w14:textId="77777777" w:rsidR="004D0F65" w:rsidRPr="00F734D4" w:rsidRDefault="004D0F65" w:rsidP="009B056E">
            <w:pPr>
              <w:pStyle w:val="TableTextLeft"/>
              <w:keepNext/>
              <w:spacing w:before="100" w:beforeAutospacing="1"/>
              <w:rPr>
                <w:bCs/>
              </w:rPr>
            </w:pPr>
            <w:r>
              <w:rPr>
                <w:bCs/>
              </w:rPr>
              <w:t xml:space="preserve">Modified </w:t>
            </w:r>
          </w:p>
        </w:tc>
      </w:tr>
      <w:tr w:rsidR="004D0F65" w:rsidRPr="00F734D4" w14:paraId="5BD98EAD" w14:textId="77777777" w:rsidTr="00042053">
        <w:trPr>
          <w:trHeight w:val="228"/>
        </w:trPr>
        <w:tc>
          <w:tcPr>
            <w:tcW w:w="4259" w:type="pct"/>
            <w:shd w:val="clear" w:color="auto" w:fill="E6F2FF"/>
            <w:noWrap/>
          </w:tcPr>
          <w:p w14:paraId="62BBE155" w14:textId="77777777" w:rsidR="004D0F65" w:rsidRPr="00F734D4" w:rsidRDefault="004D0F65" w:rsidP="0049218B">
            <w:pPr>
              <w:pStyle w:val="TableColumnHeadingLeft"/>
            </w:pPr>
            <w:r w:rsidRPr="00F734D4">
              <w:rPr>
                <w:rFonts w:eastAsia="Arial"/>
              </w:rPr>
              <w:t xml:space="preserve">Significant but remote </w:t>
            </w:r>
            <w:r w:rsidRPr="0049218B">
              <w:rPr>
                <w:rFonts w:eastAsia="Arial"/>
              </w:rPr>
              <w:t>contingencies</w:t>
            </w:r>
          </w:p>
        </w:tc>
        <w:tc>
          <w:tcPr>
            <w:tcW w:w="741" w:type="pct"/>
            <w:shd w:val="clear" w:color="auto" w:fill="E6F2FF"/>
            <w:noWrap/>
          </w:tcPr>
          <w:p w14:paraId="5CC0646D" w14:textId="77777777" w:rsidR="004D0F65" w:rsidRPr="00F734D4" w:rsidRDefault="004D0F65" w:rsidP="009B056E">
            <w:pPr>
              <w:pStyle w:val="TableTextLeft"/>
              <w:keepNext/>
              <w:spacing w:before="100" w:beforeAutospacing="1"/>
            </w:pPr>
          </w:p>
        </w:tc>
      </w:tr>
      <w:tr w:rsidR="004D0F65" w:rsidRPr="00F734D4" w14:paraId="14234B35" w14:textId="77777777" w:rsidTr="00042053">
        <w:trPr>
          <w:trHeight w:val="228"/>
        </w:trPr>
        <w:tc>
          <w:tcPr>
            <w:tcW w:w="4259" w:type="pct"/>
            <w:shd w:val="clear" w:color="auto" w:fill="auto"/>
            <w:noWrap/>
          </w:tcPr>
          <w:p w14:paraId="44435DF6" w14:textId="0A6B57FB" w:rsidR="004D0F65" w:rsidRPr="00F734D4" w:rsidRDefault="004D0F65" w:rsidP="009B056E">
            <w:pPr>
              <w:pStyle w:val="TableTextLeft-Indent"/>
              <w:keepNext/>
              <w:spacing w:before="100" w:beforeAutospacing="1" w:after="0"/>
            </w:pPr>
            <w:r w:rsidRPr="00F734D4">
              <w:t>Snowy Hydro Limited – Board Members</w:t>
            </w:r>
            <w:r w:rsidR="00D737F9">
              <w:t>’</w:t>
            </w:r>
            <w:r w:rsidRPr="00F734D4">
              <w:t xml:space="preserve"> indemnity</w:t>
            </w:r>
          </w:p>
        </w:tc>
        <w:tc>
          <w:tcPr>
            <w:tcW w:w="741" w:type="pct"/>
            <w:shd w:val="clear" w:color="auto" w:fill="auto"/>
            <w:noWrap/>
          </w:tcPr>
          <w:p w14:paraId="67787B69" w14:textId="77777777" w:rsidR="004D0F65" w:rsidRPr="00F734D4" w:rsidRDefault="004D0F65" w:rsidP="009B056E">
            <w:pPr>
              <w:pStyle w:val="TableTextLeft"/>
              <w:keepNext/>
              <w:spacing w:before="100" w:beforeAutospacing="1"/>
              <w:rPr>
                <w:b/>
                <w:bCs/>
              </w:rPr>
            </w:pPr>
            <w:r w:rsidRPr="00F734D4">
              <w:rPr>
                <w:bCs/>
              </w:rPr>
              <w:t>Unchanged</w:t>
            </w:r>
          </w:p>
        </w:tc>
      </w:tr>
      <w:tr w:rsidR="004D0F65" w:rsidRPr="00F734D4" w14:paraId="0634755B" w14:textId="77777777" w:rsidTr="00042053">
        <w:trPr>
          <w:trHeight w:val="228"/>
        </w:trPr>
        <w:tc>
          <w:tcPr>
            <w:tcW w:w="4259" w:type="pct"/>
            <w:shd w:val="clear" w:color="auto" w:fill="auto"/>
            <w:noWrap/>
          </w:tcPr>
          <w:p w14:paraId="2908DE7D" w14:textId="77777777" w:rsidR="004D0F65" w:rsidRPr="00F734D4" w:rsidRDefault="004D0F65" w:rsidP="009B056E">
            <w:pPr>
              <w:pStyle w:val="TableTextLeft-Indent"/>
              <w:keepNext/>
              <w:spacing w:before="100" w:beforeAutospacing="1" w:after="0"/>
            </w:pPr>
            <w:r w:rsidRPr="00F734D4">
              <w:t>Snowy Hydro Limited – Termination of the Equity Subscription Agreements</w:t>
            </w:r>
          </w:p>
        </w:tc>
        <w:tc>
          <w:tcPr>
            <w:tcW w:w="741" w:type="pct"/>
            <w:shd w:val="clear" w:color="auto" w:fill="auto"/>
            <w:noWrap/>
          </w:tcPr>
          <w:p w14:paraId="544C17A8" w14:textId="77777777" w:rsidR="004D0F65" w:rsidRPr="00F734D4" w:rsidRDefault="004D0F65" w:rsidP="009B056E">
            <w:pPr>
              <w:pStyle w:val="TableTextLeft"/>
              <w:keepNext/>
              <w:spacing w:before="100" w:beforeAutospacing="1"/>
              <w:rPr>
                <w:b/>
                <w:bCs/>
              </w:rPr>
            </w:pPr>
            <w:r>
              <w:rPr>
                <w:bCs/>
              </w:rPr>
              <w:t>Modified</w:t>
            </w:r>
          </w:p>
        </w:tc>
      </w:tr>
      <w:tr w:rsidR="004D0F65" w:rsidRPr="00F734D4" w14:paraId="59F7D1AC" w14:textId="77777777" w:rsidTr="00042053">
        <w:trPr>
          <w:trHeight w:val="228"/>
        </w:trPr>
        <w:tc>
          <w:tcPr>
            <w:tcW w:w="4259" w:type="pct"/>
            <w:shd w:val="clear" w:color="auto" w:fill="auto"/>
            <w:noWrap/>
          </w:tcPr>
          <w:p w14:paraId="2586D810" w14:textId="77777777" w:rsidR="004D0F65" w:rsidRPr="00F734D4" w:rsidRDefault="004D0F65" w:rsidP="009B056E">
            <w:pPr>
              <w:pStyle w:val="TableTextLeft-Indent"/>
              <w:keepNext/>
              <w:spacing w:before="100" w:beforeAutospacing="1" w:after="0"/>
            </w:pPr>
            <w:r w:rsidRPr="00F734D4">
              <w:t>Underwriting of Transmission Projects</w:t>
            </w:r>
          </w:p>
        </w:tc>
        <w:tc>
          <w:tcPr>
            <w:tcW w:w="741" w:type="pct"/>
            <w:shd w:val="clear" w:color="auto" w:fill="auto"/>
            <w:noWrap/>
          </w:tcPr>
          <w:p w14:paraId="411B9389" w14:textId="77777777" w:rsidR="004D0F65" w:rsidRPr="00F734D4" w:rsidRDefault="004D0F65" w:rsidP="009B056E">
            <w:pPr>
              <w:pStyle w:val="TableTextLeft"/>
              <w:keepNext/>
              <w:spacing w:before="100" w:beforeAutospacing="1"/>
              <w:rPr>
                <w:bCs/>
              </w:rPr>
            </w:pPr>
            <w:r>
              <w:rPr>
                <w:bCs/>
              </w:rPr>
              <w:t>Unchanged</w:t>
            </w:r>
          </w:p>
        </w:tc>
      </w:tr>
      <w:tr w:rsidR="004D0F65" w:rsidRPr="00F734D4" w14:paraId="6463EF2E" w14:textId="77777777" w:rsidTr="00042053">
        <w:trPr>
          <w:trHeight w:val="228"/>
        </w:trPr>
        <w:tc>
          <w:tcPr>
            <w:tcW w:w="4259" w:type="pct"/>
            <w:shd w:val="clear" w:color="auto" w:fill="E6F2FF"/>
            <w:noWrap/>
          </w:tcPr>
          <w:p w14:paraId="1333AAB3" w14:textId="77777777" w:rsidR="004D0F65" w:rsidRPr="00F734D4" w:rsidRDefault="004D0F65" w:rsidP="0049218B">
            <w:pPr>
              <w:pStyle w:val="TableColumnHeadingLeft"/>
            </w:pPr>
            <w:r w:rsidRPr="0049218B">
              <w:rPr>
                <w:rFonts w:eastAsia="Arial"/>
              </w:rPr>
              <w:t>Contingent</w:t>
            </w:r>
            <w:r w:rsidRPr="00F734D4">
              <w:rPr>
                <w:rFonts w:eastAsia="Arial"/>
              </w:rPr>
              <w:t xml:space="preserve"> liabilities – unquantifiable</w:t>
            </w:r>
          </w:p>
        </w:tc>
        <w:tc>
          <w:tcPr>
            <w:tcW w:w="741" w:type="pct"/>
            <w:shd w:val="clear" w:color="auto" w:fill="E6F2FF"/>
            <w:noWrap/>
          </w:tcPr>
          <w:p w14:paraId="40284821" w14:textId="77777777" w:rsidR="004D0F65" w:rsidRPr="00F734D4" w:rsidRDefault="004D0F65" w:rsidP="009B056E">
            <w:pPr>
              <w:pStyle w:val="TableTextLeft"/>
              <w:keepNext/>
              <w:spacing w:before="100" w:beforeAutospacing="1"/>
            </w:pPr>
          </w:p>
        </w:tc>
      </w:tr>
      <w:tr w:rsidR="004D0F65" w:rsidRPr="00F734D4" w14:paraId="7DDF322A" w14:textId="77777777" w:rsidTr="00042053">
        <w:trPr>
          <w:trHeight w:val="228"/>
        </w:trPr>
        <w:tc>
          <w:tcPr>
            <w:tcW w:w="4259" w:type="pct"/>
            <w:shd w:val="clear" w:color="auto" w:fill="auto"/>
            <w:noWrap/>
          </w:tcPr>
          <w:p w14:paraId="68DBA5B4" w14:textId="4B2895A1" w:rsidR="004D0F65" w:rsidRPr="00F734D4" w:rsidRDefault="004D0F65" w:rsidP="009B056E">
            <w:pPr>
              <w:pStyle w:val="TableTextLeft-Indent"/>
              <w:keepNext/>
              <w:spacing w:before="100" w:beforeAutospacing="1" w:after="0"/>
            </w:pPr>
            <w:r w:rsidRPr="00BD765C">
              <w:t>Gorgon liquefied natural gas and carbon dioxide storage project – long</w:t>
            </w:r>
            <w:r w:rsidR="00D737F9">
              <w:noBreakHyphen/>
            </w:r>
            <w:r w:rsidRPr="00BD765C">
              <w:t>term liability</w:t>
            </w:r>
          </w:p>
        </w:tc>
        <w:tc>
          <w:tcPr>
            <w:tcW w:w="741" w:type="pct"/>
            <w:shd w:val="clear" w:color="auto" w:fill="auto"/>
            <w:noWrap/>
          </w:tcPr>
          <w:p w14:paraId="4D70DD1B" w14:textId="77777777" w:rsidR="004D0F65" w:rsidRPr="00F734D4" w:rsidRDefault="004D0F65" w:rsidP="009B056E">
            <w:pPr>
              <w:pStyle w:val="TableTextLeft"/>
              <w:keepNext/>
              <w:spacing w:before="100" w:beforeAutospacing="1"/>
              <w:rPr>
                <w:bCs/>
              </w:rPr>
            </w:pPr>
            <w:r>
              <w:rPr>
                <w:bCs/>
              </w:rPr>
              <w:t>Unchanged</w:t>
            </w:r>
          </w:p>
        </w:tc>
      </w:tr>
      <w:tr w:rsidR="004D0F65" w:rsidRPr="00F734D4" w14:paraId="7DD26E51" w14:textId="77777777" w:rsidTr="00042053">
        <w:trPr>
          <w:trHeight w:val="228"/>
        </w:trPr>
        <w:tc>
          <w:tcPr>
            <w:tcW w:w="4259" w:type="pct"/>
            <w:shd w:val="clear" w:color="auto" w:fill="auto"/>
            <w:noWrap/>
          </w:tcPr>
          <w:p w14:paraId="769481E5" w14:textId="77777777" w:rsidR="004D0F65" w:rsidRPr="00F734D4" w:rsidRDefault="004D0F65" w:rsidP="009B056E">
            <w:pPr>
              <w:pStyle w:val="TableTextLeft-Indent"/>
              <w:keepNext/>
              <w:spacing w:before="100" w:beforeAutospacing="1" w:after="0"/>
            </w:pPr>
            <w:r w:rsidRPr="00F734D4">
              <w:t>Liability for costs incurred in a national liquid fuel emergency</w:t>
            </w:r>
          </w:p>
        </w:tc>
        <w:tc>
          <w:tcPr>
            <w:tcW w:w="741" w:type="pct"/>
            <w:shd w:val="clear" w:color="auto" w:fill="auto"/>
            <w:noWrap/>
          </w:tcPr>
          <w:p w14:paraId="3A482C26" w14:textId="77777777" w:rsidR="004D0F65" w:rsidRPr="00F734D4" w:rsidRDefault="004D0F65" w:rsidP="009B056E">
            <w:pPr>
              <w:pStyle w:val="TableTextLeft"/>
              <w:keepNext/>
              <w:spacing w:before="100" w:beforeAutospacing="1"/>
              <w:rPr>
                <w:b/>
                <w:bCs/>
              </w:rPr>
            </w:pPr>
            <w:r w:rsidRPr="00F734D4">
              <w:rPr>
                <w:bCs/>
              </w:rPr>
              <w:t>Unchanged</w:t>
            </w:r>
          </w:p>
        </w:tc>
      </w:tr>
      <w:tr w:rsidR="004D0F65" w:rsidRPr="00F734D4" w14:paraId="737FE549" w14:textId="77777777" w:rsidTr="00042053">
        <w:trPr>
          <w:trHeight w:val="228"/>
        </w:trPr>
        <w:tc>
          <w:tcPr>
            <w:tcW w:w="4259" w:type="pct"/>
            <w:shd w:val="clear" w:color="auto" w:fill="auto"/>
            <w:noWrap/>
          </w:tcPr>
          <w:p w14:paraId="0CDF0254" w14:textId="4BBE1955" w:rsidR="004D0F65" w:rsidRPr="00F734D4" w:rsidRDefault="004D0F65" w:rsidP="009B056E">
            <w:pPr>
              <w:pStyle w:val="TableTextLeft-Indent"/>
              <w:keepNext/>
              <w:spacing w:before="100" w:beforeAutospacing="1" w:after="0"/>
            </w:pPr>
            <w:r w:rsidRPr="00D14FE8">
              <w:t>Marinus Link Project – Shareholders</w:t>
            </w:r>
            <w:r w:rsidR="00D737F9">
              <w:t>’</w:t>
            </w:r>
            <w:r w:rsidRPr="00D14FE8">
              <w:t xml:space="preserve"> agreement</w:t>
            </w:r>
          </w:p>
        </w:tc>
        <w:tc>
          <w:tcPr>
            <w:tcW w:w="741" w:type="pct"/>
            <w:shd w:val="clear" w:color="auto" w:fill="auto"/>
            <w:noWrap/>
          </w:tcPr>
          <w:p w14:paraId="62690F61" w14:textId="77777777" w:rsidR="004D0F65" w:rsidRPr="00F734D4" w:rsidRDefault="004D0F65" w:rsidP="009B056E">
            <w:pPr>
              <w:pStyle w:val="TableTextLeft"/>
              <w:keepNext/>
              <w:spacing w:before="100" w:beforeAutospacing="1"/>
              <w:rPr>
                <w:bCs/>
              </w:rPr>
            </w:pPr>
            <w:r>
              <w:rPr>
                <w:bCs/>
              </w:rPr>
              <w:t>New</w:t>
            </w:r>
          </w:p>
        </w:tc>
      </w:tr>
      <w:tr w:rsidR="004D0F65" w:rsidRPr="00F734D4" w14:paraId="76EE8305" w14:textId="77777777" w:rsidTr="00042053">
        <w:trPr>
          <w:trHeight w:val="228"/>
        </w:trPr>
        <w:tc>
          <w:tcPr>
            <w:tcW w:w="4259" w:type="pct"/>
            <w:shd w:val="clear" w:color="auto" w:fill="auto"/>
            <w:noWrap/>
          </w:tcPr>
          <w:p w14:paraId="0C8C14B0" w14:textId="1A56C21C" w:rsidR="004D0F65" w:rsidRPr="00F734D4" w:rsidRDefault="004D0F65" w:rsidP="009B056E">
            <w:pPr>
              <w:pStyle w:val="TableTextLeft-Indent"/>
              <w:keepNext/>
              <w:spacing w:before="100" w:beforeAutospacing="1" w:after="0"/>
              <w:rPr>
                <w:rFonts w:ascii="Arial Bold" w:hAnsi="Arial Bold"/>
                <w:b/>
                <w:bCs/>
              </w:rPr>
            </w:pPr>
            <w:r w:rsidRPr="00F734D4">
              <w:t>Murray</w:t>
            </w:r>
            <w:r w:rsidR="00D737F9">
              <w:noBreakHyphen/>
            </w:r>
            <w:r w:rsidRPr="00F734D4">
              <w:t>Darling Basin Reform – risk assignment</w:t>
            </w:r>
          </w:p>
        </w:tc>
        <w:tc>
          <w:tcPr>
            <w:tcW w:w="741" w:type="pct"/>
            <w:shd w:val="clear" w:color="auto" w:fill="auto"/>
            <w:noWrap/>
          </w:tcPr>
          <w:p w14:paraId="75025E74" w14:textId="77777777" w:rsidR="004D0F65" w:rsidRPr="00F734D4" w:rsidRDefault="004D0F65" w:rsidP="009B056E">
            <w:pPr>
              <w:pStyle w:val="TableTextLeft"/>
              <w:keepNext/>
              <w:spacing w:before="100" w:beforeAutospacing="1"/>
              <w:rPr>
                <w:bCs/>
              </w:rPr>
            </w:pPr>
            <w:r>
              <w:rPr>
                <w:bCs/>
              </w:rPr>
              <w:t>Unchanged</w:t>
            </w:r>
          </w:p>
        </w:tc>
      </w:tr>
      <w:tr w:rsidR="004D0F65" w:rsidRPr="00F734D4" w14:paraId="19BB46CC" w14:textId="77777777" w:rsidTr="00042053">
        <w:trPr>
          <w:trHeight w:val="228"/>
        </w:trPr>
        <w:tc>
          <w:tcPr>
            <w:tcW w:w="4259" w:type="pct"/>
            <w:shd w:val="clear" w:color="auto" w:fill="auto"/>
            <w:noWrap/>
          </w:tcPr>
          <w:p w14:paraId="372552D3" w14:textId="77777777" w:rsidR="004D0F65" w:rsidRPr="00F734D4" w:rsidRDefault="004D0F65" w:rsidP="009B056E">
            <w:pPr>
              <w:pStyle w:val="TableTextLeft-Indent"/>
              <w:keepNext/>
              <w:spacing w:before="100" w:beforeAutospacing="1" w:after="0"/>
            </w:pPr>
            <w:r w:rsidRPr="00F734D4">
              <w:t>Remediation of Jabiru Township</w:t>
            </w:r>
          </w:p>
        </w:tc>
        <w:tc>
          <w:tcPr>
            <w:tcW w:w="741" w:type="pct"/>
            <w:shd w:val="clear" w:color="auto" w:fill="auto"/>
            <w:noWrap/>
          </w:tcPr>
          <w:p w14:paraId="2DE733CF" w14:textId="77777777" w:rsidR="004D0F65" w:rsidRPr="00F734D4" w:rsidRDefault="004D0F65" w:rsidP="009B056E">
            <w:pPr>
              <w:pStyle w:val="TableTextLeft"/>
              <w:keepNext/>
              <w:spacing w:before="100" w:beforeAutospacing="1"/>
              <w:rPr>
                <w:bCs/>
              </w:rPr>
            </w:pPr>
            <w:r>
              <w:t>Unchanged</w:t>
            </w:r>
          </w:p>
        </w:tc>
      </w:tr>
      <w:tr w:rsidR="004D0F65" w:rsidRPr="00F734D4" w14:paraId="717D653D" w14:textId="77777777" w:rsidTr="00042053">
        <w:trPr>
          <w:trHeight w:val="228"/>
        </w:trPr>
        <w:tc>
          <w:tcPr>
            <w:tcW w:w="4259" w:type="pct"/>
            <w:shd w:val="clear" w:color="auto" w:fill="auto"/>
            <w:noWrap/>
          </w:tcPr>
          <w:p w14:paraId="4097B53C" w14:textId="77777777" w:rsidR="004D0F65" w:rsidRPr="00F734D4" w:rsidRDefault="004D0F65" w:rsidP="009B056E">
            <w:pPr>
              <w:pStyle w:val="TableTextLeft-Indent"/>
              <w:keepNext/>
              <w:spacing w:before="100" w:beforeAutospacing="1"/>
              <w:rPr>
                <w:rFonts w:ascii="Arial Bold" w:hAnsi="Arial Bold"/>
                <w:b/>
                <w:bCs/>
              </w:rPr>
            </w:pPr>
            <w:r w:rsidRPr="00F734D4">
              <w:t>United States Strategic Petroleum Reserve Lease Agreement – indemnity under</w:t>
            </w:r>
            <w:r>
              <w:t> </w:t>
            </w:r>
            <w:r w:rsidRPr="00F734D4">
              <w:t>certain conditions</w:t>
            </w:r>
          </w:p>
        </w:tc>
        <w:tc>
          <w:tcPr>
            <w:tcW w:w="741" w:type="pct"/>
            <w:shd w:val="clear" w:color="auto" w:fill="auto"/>
            <w:noWrap/>
          </w:tcPr>
          <w:p w14:paraId="17109052" w14:textId="77777777" w:rsidR="004D0F65" w:rsidRPr="00F734D4" w:rsidRDefault="004D0F65" w:rsidP="009B056E">
            <w:pPr>
              <w:pStyle w:val="TableTextLeft"/>
              <w:keepNext/>
              <w:spacing w:before="100" w:beforeAutospacing="1"/>
              <w:rPr>
                <w:bCs/>
              </w:rPr>
            </w:pPr>
            <w:r>
              <w:rPr>
                <w:bCs/>
              </w:rPr>
              <w:t>Unchanged</w:t>
            </w:r>
          </w:p>
        </w:tc>
      </w:tr>
      <w:tr w:rsidR="004D0F65" w:rsidRPr="00F734D4" w14:paraId="7072DEA1" w14:textId="77777777" w:rsidTr="00042053">
        <w:trPr>
          <w:trHeight w:val="228"/>
        </w:trPr>
        <w:tc>
          <w:tcPr>
            <w:tcW w:w="4259" w:type="pct"/>
            <w:shd w:val="clear" w:color="auto" w:fill="E6F2FF"/>
            <w:noWrap/>
          </w:tcPr>
          <w:p w14:paraId="72A1D1FD" w14:textId="77777777" w:rsidR="004D0F65" w:rsidRPr="00F734D4" w:rsidRDefault="004D0F65" w:rsidP="0049218B">
            <w:pPr>
              <w:pStyle w:val="TableColumnHeadingLeft"/>
            </w:pPr>
            <w:r w:rsidRPr="00F734D4">
              <w:rPr>
                <w:rFonts w:eastAsia="Arial"/>
              </w:rPr>
              <w:t>Contingent liability – quantifiable</w:t>
            </w:r>
          </w:p>
        </w:tc>
        <w:tc>
          <w:tcPr>
            <w:tcW w:w="741" w:type="pct"/>
            <w:shd w:val="clear" w:color="auto" w:fill="E6F2FF"/>
            <w:noWrap/>
          </w:tcPr>
          <w:p w14:paraId="4501C86D" w14:textId="77777777" w:rsidR="004D0F65" w:rsidRPr="00F734D4" w:rsidRDefault="004D0F65" w:rsidP="009B056E">
            <w:pPr>
              <w:pStyle w:val="TableTextLeft"/>
              <w:keepNext/>
              <w:spacing w:before="100" w:beforeAutospacing="1"/>
            </w:pPr>
          </w:p>
        </w:tc>
      </w:tr>
      <w:tr w:rsidR="004D0F65" w:rsidRPr="00F734D4" w14:paraId="4EAEC3FF" w14:textId="77777777" w:rsidTr="00042053">
        <w:trPr>
          <w:trHeight w:val="228"/>
        </w:trPr>
        <w:tc>
          <w:tcPr>
            <w:tcW w:w="4259" w:type="pct"/>
            <w:shd w:val="clear" w:color="auto" w:fill="auto"/>
            <w:noWrap/>
          </w:tcPr>
          <w:p w14:paraId="01D3A8F3" w14:textId="77777777" w:rsidR="004D0F65" w:rsidRPr="00F734D4" w:rsidRDefault="004D0F65" w:rsidP="009B056E">
            <w:pPr>
              <w:pStyle w:val="TableTextLeft-Indent"/>
              <w:keepNext/>
              <w:spacing w:before="100" w:beforeAutospacing="1" w:after="0"/>
            </w:pPr>
            <w:r w:rsidRPr="00F734D4">
              <w:t xml:space="preserve">Underwriting of </w:t>
            </w:r>
            <w:r>
              <w:t>the Marinus Link Project</w:t>
            </w:r>
          </w:p>
        </w:tc>
        <w:tc>
          <w:tcPr>
            <w:tcW w:w="741" w:type="pct"/>
            <w:shd w:val="clear" w:color="auto" w:fill="auto"/>
            <w:noWrap/>
          </w:tcPr>
          <w:p w14:paraId="30051977" w14:textId="77777777" w:rsidR="004D0F65" w:rsidRPr="00F734D4" w:rsidRDefault="004D0F65" w:rsidP="009B056E">
            <w:pPr>
              <w:pStyle w:val="TableTextLeft"/>
              <w:keepNext/>
              <w:spacing w:before="100" w:beforeAutospacing="1"/>
              <w:rPr>
                <w:bCs/>
              </w:rPr>
            </w:pPr>
            <w:r>
              <w:rPr>
                <w:bCs/>
              </w:rPr>
              <w:t>Modified</w:t>
            </w:r>
          </w:p>
        </w:tc>
      </w:tr>
      <w:tr w:rsidR="004D0F65" w:rsidRPr="00F734D4" w14:paraId="16BFCC2F" w14:textId="77777777" w:rsidTr="00042053">
        <w:trPr>
          <w:trHeight w:val="228"/>
        </w:trPr>
        <w:tc>
          <w:tcPr>
            <w:tcW w:w="4259" w:type="pct"/>
            <w:shd w:val="clear" w:color="auto" w:fill="E6F2FF"/>
            <w:noWrap/>
          </w:tcPr>
          <w:p w14:paraId="21A1EF58" w14:textId="77777777" w:rsidR="004D0F65" w:rsidRPr="0049218B" w:rsidRDefault="004D0F65" w:rsidP="0049218B">
            <w:pPr>
              <w:pStyle w:val="TableColumnHeadingLeft"/>
            </w:pPr>
            <w:r w:rsidRPr="00F734D4">
              <w:t>Defence</w:t>
            </w:r>
          </w:p>
        </w:tc>
        <w:tc>
          <w:tcPr>
            <w:tcW w:w="741" w:type="pct"/>
            <w:shd w:val="clear" w:color="auto" w:fill="E6F2FF"/>
            <w:noWrap/>
          </w:tcPr>
          <w:p w14:paraId="5C67D769" w14:textId="77777777" w:rsidR="004D0F65" w:rsidRPr="00F734D4" w:rsidRDefault="004D0F65" w:rsidP="009C78D7">
            <w:pPr>
              <w:pStyle w:val="TableColumnHeadingLeft"/>
            </w:pPr>
            <w:r w:rsidRPr="009C78D7">
              <w:t>Status</w:t>
            </w:r>
          </w:p>
        </w:tc>
      </w:tr>
      <w:tr w:rsidR="004D0F65" w:rsidRPr="00F734D4" w14:paraId="671A4A20" w14:textId="77777777" w:rsidTr="00042053">
        <w:trPr>
          <w:trHeight w:val="228"/>
        </w:trPr>
        <w:tc>
          <w:tcPr>
            <w:tcW w:w="4259" w:type="pct"/>
            <w:shd w:val="clear" w:color="auto" w:fill="E6F2FF"/>
            <w:noWrap/>
          </w:tcPr>
          <w:p w14:paraId="5708F646" w14:textId="77777777" w:rsidR="004D0F65" w:rsidRPr="0049218B" w:rsidRDefault="004D0F65" w:rsidP="0049218B">
            <w:pPr>
              <w:pStyle w:val="TableColumnHeadingLeft"/>
            </w:pPr>
            <w:r w:rsidRPr="00F734D4">
              <w:rPr>
                <w:rFonts w:eastAsia="Arial"/>
              </w:rPr>
              <w:t>Fiscal Risks</w:t>
            </w:r>
          </w:p>
        </w:tc>
        <w:tc>
          <w:tcPr>
            <w:tcW w:w="741" w:type="pct"/>
            <w:shd w:val="clear" w:color="auto" w:fill="E6F2FF"/>
            <w:noWrap/>
          </w:tcPr>
          <w:p w14:paraId="0DDCB50C" w14:textId="77777777" w:rsidR="004D0F65" w:rsidRPr="00F734D4" w:rsidRDefault="004D0F65" w:rsidP="009B056E">
            <w:pPr>
              <w:pStyle w:val="TableTextLeft"/>
              <w:keepNext/>
              <w:spacing w:before="100" w:beforeAutospacing="1"/>
            </w:pPr>
          </w:p>
        </w:tc>
      </w:tr>
      <w:tr w:rsidR="004D0F65" w:rsidRPr="00F734D4" w14:paraId="6DB088FF" w14:textId="77777777" w:rsidTr="00042053">
        <w:trPr>
          <w:trHeight w:val="228"/>
        </w:trPr>
        <w:tc>
          <w:tcPr>
            <w:tcW w:w="4259" w:type="pct"/>
            <w:shd w:val="clear" w:color="auto" w:fill="auto"/>
            <w:noWrap/>
          </w:tcPr>
          <w:p w14:paraId="769A9360" w14:textId="6E625529" w:rsidR="004D0F65" w:rsidRPr="00F734D4" w:rsidRDefault="004D0F65" w:rsidP="009B056E">
            <w:pPr>
              <w:pStyle w:val="TableTextLeft-Indent"/>
              <w:keepNext/>
              <w:spacing w:before="100" w:beforeAutospacing="1" w:after="0"/>
            </w:pPr>
            <w:r w:rsidRPr="00BD765C">
              <w:t>Implementation of the nuclear</w:t>
            </w:r>
            <w:r w:rsidR="00D737F9">
              <w:noBreakHyphen/>
            </w:r>
            <w:r w:rsidRPr="00BD765C">
              <w:t>powered submarine program</w:t>
            </w:r>
          </w:p>
        </w:tc>
        <w:tc>
          <w:tcPr>
            <w:tcW w:w="741" w:type="pct"/>
            <w:shd w:val="clear" w:color="auto" w:fill="auto"/>
            <w:noWrap/>
          </w:tcPr>
          <w:p w14:paraId="2314BD57" w14:textId="77777777" w:rsidR="004D0F65" w:rsidRPr="00F734D4" w:rsidRDefault="004D0F65" w:rsidP="009B056E">
            <w:pPr>
              <w:pStyle w:val="TableTextLeft"/>
              <w:keepNext/>
              <w:spacing w:before="100" w:beforeAutospacing="1"/>
            </w:pPr>
            <w:r w:rsidRPr="00D22D4E">
              <w:t>Modified</w:t>
            </w:r>
          </w:p>
        </w:tc>
      </w:tr>
      <w:tr w:rsidR="004D0F65" w:rsidRPr="00F734D4" w14:paraId="6A98A07F" w14:textId="77777777" w:rsidTr="00042053">
        <w:trPr>
          <w:trHeight w:val="228"/>
        </w:trPr>
        <w:tc>
          <w:tcPr>
            <w:tcW w:w="4259" w:type="pct"/>
            <w:shd w:val="clear" w:color="auto" w:fill="auto"/>
            <w:noWrap/>
          </w:tcPr>
          <w:p w14:paraId="28848909" w14:textId="360F6FDC" w:rsidR="004D0F65" w:rsidRPr="00F734D4" w:rsidRDefault="004D0F65" w:rsidP="009B056E">
            <w:pPr>
              <w:pStyle w:val="TableTextLeft-Indent"/>
              <w:keepNext/>
              <w:spacing w:before="100" w:beforeAutospacing="1" w:after="0"/>
            </w:pPr>
            <w:r w:rsidRPr="00F734D4">
              <w:t xml:space="preserve">Major operations of the Australian Defence Force in </w:t>
            </w:r>
            <w:r>
              <w:t>2024</w:t>
            </w:r>
            <w:r w:rsidR="00D737F9">
              <w:t>–</w:t>
            </w:r>
            <w:r>
              <w:t>25</w:t>
            </w:r>
          </w:p>
        </w:tc>
        <w:tc>
          <w:tcPr>
            <w:tcW w:w="741" w:type="pct"/>
            <w:shd w:val="clear" w:color="auto" w:fill="auto"/>
            <w:noWrap/>
          </w:tcPr>
          <w:p w14:paraId="7F89F568" w14:textId="77777777" w:rsidR="004D0F65" w:rsidRPr="00F734D4" w:rsidRDefault="004D0F65" w:rsidP="009B056E">
            <w:pPr>
              <w:pStyle w:val="TableTextLeft"/>
              <w:keepNext/>
              <w:spacing w:before="100" w:beforeAutospacing="1"/>
            </w:pPr>
            <w:r>
              <w:t>Unchanged</w:t>
            </w:r>
          </w:p>
        </w:tc>
      </w:tr>
      <w:tr w:rsidR="004D0F65" w:rsidRPr="00F734D4" w14:paraId="6239AC34" w14:textId="77777777" w:rsidTr="00042053">
        <w:trPr>
          <w:trHeight w:val="228"/>
        </w:trPr>
        <w:tc>
          <w:tcPr>
            <w:tcW w:w="4259" w:type="pct"/>
            <w:shd w:val="clear" w:color="auto" w:fill="E6F2FF"/>
            <w:noWrap/>
          </w:tcPr>
          <w:p w14:paraId="7C5222F1" w14:textId="77777777" w:rsidR="004D0F65" w:rsidRPr="0049218B" w:rsidRDefault="004D0F65" w:rsidP="0049218B">
            <w:pPr>
              <w:pStyle w:val="TableColumnHeadingLeft"/>
              <w:rPr>
                <w:rFonts w:eastAsia="Arial"/>
              </w:rPr>
            </w:pPr>
            <w:r w:rsidRPr="00F734D4">
              <w:rPr>
                <w:rFonts w:eastAsia="Arial"/>
              </w:rPr>
              <w:t xml:space="preserve">Significant but remote contingencies </w:t>
            </w:r>
          </w:p>
        </w:tc>
        <w:tc>
          <w:tcPr>
            <w:tcW w:w="741" w:type="pct"/>
            <w:shd w:val="clear" w:color="auto" w:fill="E6F2FF"/>
            <w:noWrap/>
          </w:tcPr>
          <w:p w14:paraId="76136C96" w14:textId="77777777" w:rsidR="004D0F65" w:rsidRPr="00F734D4" w:rsidRDefault="004D0F65" w:rsidP="009B056E">
            <w:pPr>
              <w:pStyle w:val="TableTextLeft"/>
              <w:keepNext/>
              <w:spacing w:before="100" w:beforeAutospacing="1"/>
            </w:pPr>
          </w:p>
        </w:tc>
      </w:tr>
      <w:tr w:rsidR="004D0F65" w:rsidRPr="00F734D4" w14:paraId="65496A94" w14:textId="77777777" w:rsidTr="00042053">
        <w:trPr>
          <w:trHeight w:val="228"/>
        </w:trPr>
        <w:tc>
          <w:tcPr>
            <w:tcW w:w="4259" w:type="pct"/>
            <w:shd w:val="clear" w:color="auto" w:fill="auto"/>
            <w:noWrap/>
          </w:tcPr>
          <w:p w14:paraId="59902E84" w14:textId="215DEDB3" w:rsidR="004D0F65" w:rsidRPr="00F734D4" w:rsidRDefault="004D0F65" w:rsidP="009B056E">
            <w:pPr>
              <w:pStyle w:val="TableTextLeft-Indent"/>
              <w:keepNext/>
              <w:spacing w:before="100" w:beforeAutospacing="1" w:after="0"/>
              <w:rPr>
                <w:b/>
              </w:rPr>
            </w:pPr>
            <w:r w:rsidRPr="00F734D4">
              <w:t>ADI Limited – Officers</w:t>
            </w:r>
            <w:r w:rsidR="00D737F9">
              <w:t>’</w:t>
            </w:r>
            <w:r w:rsidRPr="00F734D4">
              <w:t xml:space="preserve"> and Directors</w:t>
            </w:r>
            <w:r w:rsidR="00D737F9">
              <w:t>’</w:t>
            </w:r>
            <w:r w:rsidRPr="00F734D4">
              <w:t xml:space="preserve"> indemnities</w:t>
            </w:r>
          </w:p>
        </w:tc>
        <w:tc>
          <w:tcPr>
            <w:tcW w:w="741" w:type="pct"/>
            <w:shd w:val="clear" w:color="auto" w:fill="auto"/>
            <w:noWrap/>
          </w:tcPr>
          <w:p w14:paraId="0B555FD0" w14:textId="77777777" w:rsidR="004D0F65" w:rsidRPr="00F734D4" w:rsidRDefault="004D0F65" w:rsidP="009B056E">
            <w:pPr>
              <w:pStyle w:val="TableTextLeft"/>
              <w:keepNext/>
              <w:spacing w:before="100" w:beforeAutospacing="1"/>
            </w:pPr>
            <w:r w:rsidRPr="00F734D4">
              <w:t>Unchanged</w:t>
            </w:r>
          </w:p>
        </w:tc>
      </w:tr>
      <w:tr w:rsidR="004D0F65" w:rsidRPr="00F734D4" w14:paraId="636DACE9" w14:textId="77777777" w:rsidTr="00042053">
        <w:trPr>
          <w:trHeight w:val="228"/>
        </w:trPr>
        <w:tc>
          <w:tcPr>
            <w:tcW w:w="4259" w:type="pct"/>
            <w:shd w:val="clear" w:color="auto" w:fill="auto"/>
            <w:noWrap/>
          </w:tcPr>
          <w:p w14:paraId="4C8A9C90" w14:textId="77777777" w:rsidR="004D0F65" w:rsidRPr="00F734D4" w:rsidRDefault="004D0F65" w:rsidP="009B056E">
            <w:pPr>
              <w:pStyle w:val="TableTextLeft-Indent"/>
              <w:keepNext/>
              <w:spacing w:before="100" w:beforeAutospacing="1" w:after="0"/>
            </w:pPr>
            <w:r w:rsidRPr="00F734D4">
              <w:t>Litigation cases</w:t>
            </w:r>
          </w:p>
        </w:tc>
        <w:tc>
          <w:tcPr>
            <w:tcW w:w="741" w:type="pct"/>
            <w:shd w:val="clear" w:color="auto" w:fill="auto"/>
            <w:noWrap/>
          </w:tcPr>
          <w:p w14:paraId="7CA51042" w14:textId="77777777" w:rsidR="004D0F65" w:rsidRPr="00F734D4" w:rsidRDefault="004D0F65" w:rsidP="009B056E">
            <w:pPr>
              <w:pStyle w:val="TableTextLeft"/>
              <w:keepNext/>
              <w:spacing w:before="100" w:beforeAutospacing="1"/>
            </w:pPr>
            <w:r w:rsidRPr="00F734D4">
              <w:t>Unchanged</w:t>
            </w:r>
          </w:p>
        </w:tc>
      </w:tr>
      <w:tr w:rsidR="004D0F65" w:rsidRPr="00F734D4" w14:paraId="42A2209D" w14:textId="77777777" w:rsidTr="00042053">
        <w:trPr>
          <w:trHeight w:val="228"/>
        </w:trPr>
        <w:tc>
          <w:tcPr>
            <w:tcW w:w="4259" w:type="pct"/>
            <w:shd w:val="clear" w:color="auto" w:fill="auto"/>
            <w:noWrap/>
          </w:tcPr>
          <w:p w14:paraId="018F4715" w14:textId="77777777" w:rsidR="004D0F65" w:rsidRPr="00F734D4" w:rsidRDefault="004D0F65" w:rsidP="009B056E">
            <w:pPr>
              <w:pStyle w:val="TableTextLeft-Indent"/>
              <w:keepNext/>
              <w:spacing w:before="100" w:beforeAutospacing="1" w:after="0"/>
            </w:pPr>
            <w:r w:rsidRPr="00F734D4">
              <w:t>Remote contingencies</w:t>
            </w:r>
          </w:p>
        </w:tc>
        <w:tc>
          <w:tcPr>
            <w:tcW w:w="741" w:type="pct"/>
            <w:shd w:val="clear" w:color="auto" w:fill="auto"/>
            <w:noWrap/>
          </w:tcPr>
          <w:p w14:paraId="70A69B56" w14:textId="77777777" w:rsidR="004D0F65" w:rsidRPr="00F734D4" w:rsidRDefault="004D0F65" w:rsidP="009B056E">
            <w:pPr>
              <w:pStyle w:val="TableTextLeft"/>
              <w:keepNext/>
              <w:spacing w:before="100" w:beforeAutospacing="1"/>
              <w:rPr>
                <w:rFonts w:eastAsia="Arial" w:cs="Arial"/>
              </w:rPr>
            </w:pPr>
            <w:r>
              <w:rPr>
                <w:bCs/>
              </w:rPr>
              <w:t>Unchanged</w:t>
            </w:r>
          </w:p>
        </w:tc>
      </w:tr>
      <w:tr w:rsidR="004D0F65" w:rsidRPr="00F734D4" w14:paraId="7A66D49E" w14:textId="77777777" w:rsidTr="00042053">
        <w:trPr>
          <w:trHeight w:val="228"/>
        </w:trPr>
        <w:tc>
          <w:tcPr>
            <w:tcW w:w="4259" w:type="pct"/>
            <w:shd w:val="clear" w:color="auto" w:fill="E6F2FF"/>
            <w:noWrap/>
          </w:tcPr>
          <w:p w14:paraId="60C9FB7A" w14:textId="77777777" w:rsidR="004D0F65" w:rsidRPr="00F734D4" w:rsidRDefault="004D0F65" w:rsidP="0049218B">
            <w:pPr>
              <w:pStyle w:val="TableColumnHeadingLeft"/>
              <w:rPr>
                <w:rFonts w:eastAsia="Arial"/>
              </w:rPr>
            </w:pPr>
            <w:r w:rsidRPr="00F734D4">
              <w:rPr>
                <w:rFonts w:eastAsia="Arial"/>
              </w:rPr>
              <w:t xml:space="preserve">Contingent liabilities – </w:t>
            </w:r>
            <w:r w:rsidRPr="0049218B">
              <w:rPr>
                <w:rFonts w:eastAsia="Arial"/>
              </w:rPr>
              <w:t>unquantifiable</w:t>
            </w:r>
          </w:p>
        </w:tc>
        <w:tc>
          <w:tcPr>
            <w:tcW w:w="741" w:type="pct"/>
            <w:shd w:val="clear" w:color="auto" w:fill="E6F2FF"/>
            <w:noWrap/>
          </w:tcPr>
          <w:p w14:paraId="3FC16C5C" w14:textId="77777777" w:rsidR="004D0F65" w:rsidRPr="00F734D4" w:rsidRDefault="004D0F65" w:rsidP="009B056E">
            <w:pPr>
              <w:pStyle w:val="TableTextLeft"/>
              <w:keepNext/>
              <w:spacing w:before="100" w:beforeAutospacing="1"/>
            </w:pPr>
          </w:p>
        </w:tc>
      </w:tr>
      <w:tr w:rsidR="004D0F65" w:rsidRPr="00F734D4" w14:paraId="6C80731D" w14:textId="77777777" w:rsidTr="00042053">
        <w:trPr>
          <w:trHeight w:val="228"/>
        </w:trPr>
        <w:tc>
          <w:tcPr>
            <w:tcW w:w="4259" w:type="pct"/>
            <w:shd w:val="clear" w:color="auto" w:fill="auto"/>
            <w:noWrap/>
          </w:tcPr>
          <w:p w14:paraId="55F7B160" w14:textId="77777777" w:rsidR="004D0F65" w:rsidRPr="00F734D4" w:rsidRDefault="004D0F65" w:rsidP="009B056E">
            <w:pPr>
              <w:pStyle w:val="TableTextLeft-Indent"/>
              <w:keepNext/>
              <w:spacing w:before="100" w:beforeAutospacing="1" w:after="0"/>
            </w:pPr>
            <w:r w:rsidRPr="00F734D4">
              <w:t>Cockatoo Island Dockyard</w:t>
            </w:r>
          </w:p>
        </w:tc>
        <w:tc>
          <w:tcPr>
            <w:tcW w:w="741" w:type="pct"/>
            <w:shd w:val="clear" w:color="auto" w:fill="auto"/>
            <w:noWrap/>
          </w:tcPr>
          <w:p w14:paraId="1A5C9302" w14:textId="77777777" w:rsidR="004D0F65" w:rsidRPr="00F734D4" w:rsidRDefault="004D0F65" w:rsidP="009B056E">
            <w:pPr>
              <w:pStyle w:val="TableTextLeft"/>
              <w:keepNext/>
              <w:spacing w:before="100" w:beforeAutospacing="1"/>
            </w:pPr>
            <w:r w:rsidRPr="00F734D4">
              <w:t>Unchanged</w:t>
            </w:r>
          </w:p>
        </w:tc>
      </w:tr>
      <w:tr w:rsidR="004D0F65" w:rsidRPr="00F734D4" w14:paraId="51948FBA" w14:textId="77777777" w:rsidTr="00042053">
        <w:trPr>
          <w:trHeight w:val="228"/>
        </w:trPr>
        <w:tc>
          <w:tcPr>
            <w:tcW w:w="4259" w:type="pct"/>
            <w:shd w:val="clear" w:color="auto" w:fill="auto"/>
            <w:noWrap/>
          </w:tcPr>
          <w:p w14:paraId="16CD1301" w14:textId="77777777" w:rsidR="004D0F65" w:rsidRPr="00F734D4" w:rsidRDefault="004D0F65" w:rsidP="009B056E">
            <w:pPr>
              <w:pStyle w:val="TableTextLeft-Indent"/>
              <w:keepNext/>
              <w:spacing w:before="100" w:beforeAutospacing="1" w:after="0"/>
            </w:pPr>
            <w:r w:rsidRPr="00F734D4">
              <w:t>Land decontamination, site restoration and decommissioning of Defence assets</w:t>
            </w:r>
          </w:p>
        </w:tc>
        <w:tc>
          <w:tcPr>
            <w:tcW w:w="741" w:type="pct"/>
            <w:shd w:val="clear" w:color="auto" w:fill="auto"/>
            <w:noWrap/>
          </w:tcPr>
          <w:p w14:paraId="545EBD64" w14:textId="77777777" w:rsidR="004D0F65" w:rsidRPr="00F734D4" w:rsidRDefault="004D0F65" w:rsidP="009B056E">
            <w:pPr>
              <w:pStyle w:val="TableTextLeft"/>
              <w:keepNext/>
              <w:spacing w:before="100" w:beforeAutospacing="1"/>
            </w:pPr>
            <w:r w:rsidRPr="00F734D4">
              <w:t>Unchanged</w:t>
            </w:r>
          </w:p>
        </w:tc>
      </w:tr>
      <w:tr w:rsidR="004D0F65" w:rsidRPr="00F734D4" w14:paraId="1EBF8C41" w14:textId="77777777" w:rsidTr="00042053">
        <w:trPr>
          <w:trHeight w:val="228"/>
        </w:trPr>
        <w:tc>
          <w:tcPr>
            <w:tcW w:w="4259" w:type="pct"/>
            <w:shd w:val="clear" w:color="auto" w:fill="E6F2FF"/>
            <w:noWrap/>
          </w:tcPr>
          <w:p w14:paraId="4B5AA9B6" w14:textId="77777777" w:rsidR="004D0F65" w:rsidRPr="00F734D4" w:rsidRDefault="004D0F65" w:rsidP="0049218B">
            <w:pPr>
              <w:pStyle w:val="TableColumnHeadingLeft"/>
              <w:rPr>
                <w:rFonts w:eastAsia="Arial"/>
              </w:rPr>
            </w:pPr>
            <w:r w:rsidRPr="00F734D4">
              <w:rPr>
                <w:rFonts w:eastAsia="Arial"/>
              </w:rPr>
              <w:t xml:space="preserve">Contingent liability – </w:t>
            </w:r>
            <w:r w:rsidRPr="0049218B">
              <w:rPr>
                <w:rFonts w:eastAsia="Arial"/>
              </w:rPr>
              <w:t>quantifiable</w:t>
            </w:r>
          </w:p>
        </w:tc>
        <w:tc>
          <w:tcPr>
            <w:tcW w:w="741" w:type="pct"/>
            <w:shd w:val="clear" w:color="auto" w:fill="E6F2FF"/>
            <w:noWrap/>
          </w:tcPr>
          <w:p w14:paraId="702D8E78" w14:textId="77777777" w:rsidR="004D0F65" w:rsidRPr="00F734D4" w:rsidRDefault="004D0F65" w:rsidP="009B056E">
            <w:pPr>
              <w:pStyle w:val="TableTextLeft"/>
              <w:spacing w:before="100" w:beforeAutospacing="1"/>
            </w:pPr>
          </w:p>
        </w:tc>
      </w:tr>
      <w:tr w:rsidR="004D0F65" w:rsidRPr="00F734D4" w14:paraId="4F2DAF78" w14:textId="77777777" w:rsidTr="00042053">
        <w:trPr>
          <w:trHeight w:val="228"/>
        </w:trPr>
        <w:tc>
          <w:tcPr>
            <w:tcW w:w="4259" w:type="pct"/>
            <w:shd w:val="clear" w:color="auto" w:fill="auto"/>
            <w:noWrap/>
          </w:tcPr>
          <w:p w14:paraId="35745A6D" w14:textId="77777777" w:rsidR="004D0F65" w:rsidRPr="00F734D4" w:rsidRDefault="004D0F65" w:rsidP="009B056E">
            <w:pPr>
              <w:pStyle w:val="TableTextLeft-Indent"/>
              <w:spacing w:before="100" w:beforeAutospacing="1" w:after="0"/>
              <w:rPr>
                <w:b/>
              </w:rPr>
            </w:pPr>
            <w:r w:rsidRPr="00F734D4">
              <w:t>Claims against the Department of Defence</w:t>
            </w:r>
          </w:p>
        </w:tc>
        <w:tc>
          <w:tcPr>
            <w:tcW w:w="741" w:type="pct"/>
            <w:shd w:val="clear" w:color="auto" w:fill="auto"/>
            <w:noWrap/>
          </w:tcPr>
          <w:p w14:paraId="4BBDE602" w14:textId="77777777" w:rsidR="004D0F65" w:rsidRPr="00F734D4" w:rsidRDefault="004D0F65" w:rsidP="009B056E">
            <w:pPr>
              <w:pStyle w:val="TableTextLeft"/>
              <w:spacing w:before="100" w:beforeAutospacing="1"/>
              <w:rPr>
                <w:rFonts w:eastAsia="Arial" w:cs="Arial"/>
              </w:rPr>
            </w:pPr>
            <w:r>
              <w:rPr>
                <w:rFonts w:eastAsia="Arial" w:cs="Arial"/>
              </w:rPr>
              <w:t>Unchanged</w:t>
            </w:r>
          </w:p>
        </w:tc>
      </w:tr>
    </w:tbl>
    <w:p w14:paraId="26B17925" w14:textId="27AA3B51" w:rsidR="004D0F65" w:rsidRPr="00F734D4" w:rsidRDefault="004D0F65" w:rsidP="004D0F65">
      <w:pPr>
        <w:pStyle w:val="TableHeadingcontinued"/>
        <w:rPr>
          <w:rFonts w:eastAsia="Arial"/>
        </w:rPr>
      </w:pPr>
      <w:r w:rsidRPr="00D13C64">
        <w:rPr>
          <w:rFonts w:eastAsia="Arial"/>
        </w:rPr>
        <w:lastRenderedPageBreak/>
        <w:t xml:space="preserve">Table </w:t>
      </w:r>
      <w:r>
        <w:rPr>
          <w:rFonts w:eastAsia="Arial"/>
        </w:rPr>
        <w:t>9</w:t>
      </w:r>
      <w:r w:rsidRPr="00D13C64">
        <w:rPr>
          <w:rFonts w:eastAsia="Arial"/>
        </w:rPr>
        <w:t>.2: Summary</w:t>
      </w:r>
      <w:r w:rsidRPr="00C07FB5">
        <w:rPr>
          <w:rFonts w:eastAsia="Arial"/>
        </w:rPr>
        <w:t xml:space="preserve"> of </w:t>
      </w:r>
      <w:r>
        <w:rPr>
          <w:rFonts w:eastAsia="Arial"/>
        </w:rPr>
        <w:t xml:space="preserve">fiscal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17"/>
        <w:gridCol w:w="1194"/>
      </w:tblGrid>
      <w:tr w:rsidR="004D0F65" w:rsidRPr="00F734D4" w14:paraId="5831DAFC" w14:textId="77777777" w:rsidTr="00FF4B0A">
        <w:trPr>
          <w:trHeight w:val="228"/>
        </w:trPr>
        <w:tc>
          <w:tcPr>
            <w:tcW w:w="4226" w:type="pct"/>
            <w:shd w:val="clear" w:color="auto" w:fill="E6F2FF"/>
            <w:noWrap/>
          </w:tcPr>
          <w:p w14:paraId="01813F29" w14:textId="77777777" w:rsidR="004D0F65" w:rsidRPr="00F734D4" w:rsidRDefault="004D0F65" w:rsidP="00042053">
            <w:pPr>
              <w:pStyle w:val="TableColumnHeadingLeft"/>
            </w:pPr>
            <w:r w:rsidRPr="00F734D4">
              <w:t>Employment and Workplace Relations</w:t>
            </w:r>
          </w:p>
        </w:tc>
        <w:tc>
          <w:tcPr>
            <w:tcW w:w="774" w:type="pct"/>
            <w:shd w:val="clear" w:color="auto" w:fill="E6F2FF"/>
            <w:noWrap/>
          </w:tcPr>
          <w:p w14:paraId="5660BCA5" w14:textId="77777777" w:rsidR="004D0F65" w:rsidRPr="00F734D4" w:rsidRDefault="004D0F65" w:rsidP="00042053">
            <w:pPr>
              <w:pStyle w:val="TableColumnHeadingLeft"/>
            </w:pPr>
            <w:r w:rsidRPr="00F734D4">
              <w:t>Status</w:t>
            </w:r>
          </w:p>
        </w:tc>
      </w:tr>
      <w:tr w:rsidR="004D0F65" w:rsidRPr="00F734D4" w14:paraId="6CD416CC" w14:textId="77777777" w:rsidTr="00FF4B0A">
        <w:trPr>
          <w:trHeight w:val="228"/>
        </w:trPr>
        <w:tc>
          <w:tcPr>
            <w:tcW w:w="4226" w:type="pct"/>
            <w:shd w:val="clear" w:color="auto" w:fill="E6F2FF"/>
            <w:noWrap/>
          </w:tcPr>
          <w:p w14:paraId="0BAAE113" w14:textId="77777777" w:rsidR="004D0F65" w:rsidRPr="00F734D4" w:rsidRDefault="004D0F65" w:rsidP="00042053">
            <w:pPr>
              <w:pStyle w:val="TableColumnHeadingLeft"/>
              <w:rPr>
                <w:rFonts w:eastAsia="Arial"/>
              </w:rPr>
            </w:pPr>
            <w:r w:rsidRPr="00F734D4">
              <w:rPr>
                <w:rFonts w:eastAsia="Arial"/>
              </w:rPr>
              <w:t>Fiscal Risk</w:t>
            </w:r>
          </w:p>
        </w:tc>
        <w:tc>
          <w:tcPr>
            <w:tcW w:w="774" w:type="pct"/>
            <w:shd w:val="clear" w:color="auto" w:fill="E6F2FF"/>
            <w:noWrap/>
          </w:tcPr>
          <w:p w14:paraId="35893C1E" w14:textId="77777777" w:rsidR="004D0F65" w:rsidRPr="00F734D4" w:rsidRDefault="004D0F65" w:rsidP="00042053">
            <w:pPr>
              <w:pStyle w:val="TableColumnHeadingRight"/>
              <w:rPr>
                <w:rFonts w:eastAsia="Arial"/>
              </w:rPr>
            </w:pPr>
          </w:p>
        </w:tc>
      </w:tr>
      <w:tr w:rsidR="004D0F65" w:rsidRPr="00F734D4" w14:paraId="715A5593" w14:textId="77777777" w:rsidTr="00FF4B0A">
        <w:trPr>
          <w:trHeight w:val="228"/>
        </w:trPr>
        <w:tc>
          <w:tcPr>
            <w:tcW w:w="4226" w:type="pct"/>
            <w:noWrap/>
          </w:tcPr>
          <w:p w14:paraId="1F7B9064" w14:textId="6C1E1EB5" w:rsidR="004D0F65" w:rsidRPr="00F734D4" w:rsidRDefault="004D0F65" w:rsidP="00042053">
            <w:pPr>
              <w:pStyle w:val="TableTextLeft-Indent"/>
              <w:spacing w:before="0" w:after="0"/>
              <w:rPr>
                <w:b/>
              </w:rPr>
            </w:pPr>
            <w:r w:rsidRPr="00F734D4">
              <w:t>Recovery of inappropriately claimed VET FEE</w:t>
            </w:r>
            <w:r w:rsidR="00D737F9">
              <w:noBreakHyphen/>
            </w:r>
            <w:r w:rsidRPr="00F734D4">
              <w:t>HELP payments from VET providers</w:t>
            </w:r>
          </w:p>
        </w:tc>
        <w:tc>
          <w:tcPr>
            <w:tcW w:w="774" w:type="pct"/>
            <w:noWrap/>
          </w:tcPr>
          <w:p w14:paraId="625EFE9A" w14:textId="77777777" w:rsidR="004D0F65" w:rsidRPr="00F734D4" w:rsidRDefault="004D0F65" w:rsidP="00042053">
            <w:pPr>
              <w:pStyle w:val="TableTextLeft"/>
              <w:rPr>
                <w:rFonts w:eastAsia="Arial"/>
              </w:rPr>
            </w:pPr>
            <w:r w:rsidRPr="00F734D4">
              <w:rPr>
                <w:rFonts w:eastAsia="Arial"/>
              </w:rPr>
              <w:t>Unchanged</w:t>
            </w:r>
          </w:p>
        </w:tc>
      </w:tr>
      <w:tr w:rsidR="004D0F65" w:rsidRPr="00F734D4" w14:paraId="6F8471D7" w14:textId="77777777" w:rsidTr="00FF4B0A">
        <w:trPr>
          <w:trHeight w:val="228"/>
        </w:trPr>
        <w:tc>
          <w:tcPr>
            <w:tcW w:w="4226" w:type="pct"/>
            <w:shd w:val="clear" w:color="auto" w:fill="E6F2FF"/>
            <w:noWrap/>
          </w:tcPr>
          <w:p w14:paraId="3191DD5E" w14:textId="77777777" w:rsidR="004D0F65" w:rsidRPr="00F734D4" w:rsidRDefault="004D0F65" w:rsidP="00042053">
            <w:pPr>
              <w:pStyle w:val="TableColumnHeadingLeft"/>
              <w:rPr>
                <w:rFonts w:eastAsia="Arial"/>
              </w:rPr>
            </w:pPr>
            <w:r w:rsidRPr="00F734D4">
              <w:rPr>
                <w:rFonts w:eastAsia="Arial"/>
              </w:rPr>
              <w:t>Contingent liabilities – quantifiable</w:t>
            </w:r>
          </w:p>
        </w:tc>
        <w:tc>
          <w:tcPr>
            <w:tcW w:w="774" w:type="pct"/>
            <w:shd w:val="clear" w:color="auto" w:fill="E6F2FF"/>
            <w:noWrap/>
          </w:tcPr>
          <w:p w14:paraId="43E62774" w14:textId="77777777" w:rsidR="004D0F65" w:rsidRPr="00F734D4" w:rsidRDefault="004D0F65" w:rsidP="00042053">
            <w:pPr>
              <w:pStyle w:val="TableTextLeft"/>
              <w:rPr>
                <w:rFonts w:eastAsia="Arial"/>
              </w:rPr>
            </w:pPr>
          </w:p>
        </w:tc>
      </w:tr>
      <w:tr w:rsidR="004D0F65" w:rsidRPr="00F734D4" w14:paraId="7754A3C5" w14:textId="77777777" w:rsidTr="00FF4B0A">
        <w:trPr>
          <w:trHeight w:val="228"/>
        </w:trPr>
        <w:tc>
          <w:tcPr>
            <w:tcW w:w="4226" w:type="pct"/>
            <w:noWrap/>
          </w:tcPr>
          <w:p w14:paraId="47104A1A" w14:textId="77777777" w:rsidR="004D0F65" w:rsidRPr="00F734D4" w:rsidRDefault="004D0F65" w:rsidP="00042053">
            <w:pPr>
              <w:pStyle w:val="TableTextLeft-Indent"/>
              <w:spacing w:before="0" w:after="0"/>
            </w:pPr>
            <w:r w:rsidRPr="00F734D4">
              <w:t>ParentsNext program</w:t>
            </w:r>
          </w:p>
        </w:tc>
        <w:tc>
          <w:tcPr>
            <w:tcW w:w="774" w:type="pct"/>
            <w:noWrap/>
          </w:tcPr>
          <w:p w14:paraId="56F7B12B" w14:textId="77777777" w:rsidR="004D0F65" w:rsidRPr="00F734D4" w:rsidDel="007D3F25" w:rsidRDefault="004D0F65" w:rsidP="00042053">
            <w:pPr>
              <w:pStyle w:val="TableTextLeft"/>
              <w:rPr>
                <w:rFonts w:eastAsia="Arial"/>
              </w:rPr>
            </w:pPr>
            <w:r w:rsidRPr="00F734D4">
              <w:t>Modified</w:t>
            </w:r>
          </w:p>
        </w:tc>
      </w:tr>
      <w:tr w:rsidR="004D0F65" w:rsidRPr="00F734D4" w14:paraId="65389464" w14:textId="77777777" w:rsidTr="00FF4B0A">
        <w:trPr>
          <w:trHeight w:val="228"/>
        </w:trPr>
        <w:tc>
          <w:tcPr>
            <w:tcW w:w="4226" w:type="pct"/>
            <w:noWrap/>
          </w:tcPr>
          <w:p w14:paraId="051BC504" w14:textId="77777777" w:rsidR="004D0F65" w:rsidRPr="00F734D4" w:rsidRDefault="004D0F65" w:rsidP="00042053">
            <w:pPr>
              <w:pStyle w:val="TableTextLeft-Indent"/>
              <w:spacing w:before="0" w:after="0"/>
            </w:pPr>
            <w:r>
              <w:rPr>
                <w:rFonts w:cs="Arial"/>
                <w:szCs w:val="16"/>
              </w:rPr>
              <w:t>Workforce Australia – Employment Fund</w:t>
            </w:r>
          </w:p>
        </w:tc>
        <w:tc>
          <w:tcPr>
            <w:tcW w:w="774" w:type="pct"/>
            <w:noWrap/>
          </w:tcPr>
          <w:p w14:paraId="1561D517" w14:textId="77777777" w:rsidR="004D0F65" w:rsidRPr="00F734D4" w:rsidRDefault="004D0F65" w:rsidP="00042053">
            <w:pPr>
              <w:pStyle w:val="TableTextLeft"/>
            </w:pPr>
            <w:r>
              <w:t>Modified</w:t>
            </w:r>
          </w:p>
        </w:tc>
      </w:tr>
      <w:tr w:rsidR="004D0F65" w:rsidRPr="00F734D4" w14:paraId="6C21FA75" w14:textId="77777777" w:rsidTr="00FF4B0A">
        <w:trPr>
          <w:trHeight w:val="228"/>
        </w:trPr>
        <w:tc>
          <w:tcPr>
            <w:tcW w:w="4226" w:type="pct"/>
            <w:shd w:val="clear" w:color="auto" w:fill="E6F2FF"/>
            <w:noWrap/>
          </w:tcPr>
          <w:p w14:paraId="46A1B3A5" w14:textId="77777777" w:rsidR="004D0F65" w:rsidRPr="00F734D4" w:rsidRDefault="004D0F65" w:rsidP="00042053">
            <w:pPr>
              <w:pStyle w:val="TableColumnHeadingLeft"/>
            </w:pPr>
            <w:r w:rsidRPr="00F734D4">
              <w:t>Finance</w:t>
            </w:r>
          </w:p>
        </w:tc>
        <w:tc>
          <w:tcPr>
            <w:tcW w:w="774" w:type="pct"/>
            <w:shd w:val="clear" w:color="auto" w:fill="E6F2FF"/>
            <w:noWrap/>
          </w:tcPr>
          <w:p w14:paraId="44758952" w14:textId="77777777" w:rsidR="004D0F65" w:rsidRPr="002E7FF8" w:rsidRDefault="004D0F65" w:rsidP="00042053">
            <w:pPr>
              <w:pStyle w:val="TableColumnHeadingLeft"/>
            </w:pPr>
            <w:r w:rsidRPr="00F734D4">
              <w:t>Status</w:t>
            </w:r>
          </w:p>
        </w:tc>
      </w:tr>
      <w:tr w:rsidR="004D0F65" w:rsidRPr="00F734D4" w14:paraId="4A3A1F14" w14:textId="77777777" w:rsidTr="00FF4B0A">
        <w:trPr>
          <w:trHeight w:val="228"/>
        </w:trPr>
        <w:tc>
          <w:tcPr>
            <w:tcW w:w="4226" w:type="pct"/>
            <w:shd w:val="clear" w:color="auto" w:fill="E6F2FF"/>
            <w:noWrap/>
          </w:tcPr>
          <w:p w14:paraId="6E925B61" w14:textId="77777777" w:rsidR="004D0F65" w:rsidRPr="00F734D4" w:rsidRDefault="004D0F65" w:rsidP="00042053">
            <w:pPr>
              <w:pStyle w:val="TableColumnHeadingLeft"/>
              <w:rPr>
                <w:rFonts w:eastAsia="Arial"/>
              </w:rPr>
            </w:pPr>
            <w:r w:rsidRPr="00F734D4">
              <w:rPr>
                <w:rFonts w:eastAsia="Arial"/>
              </w:rPr>
              <w:t xml:space="preserve">Significant but remote contingency </w:t>
            </w:r>
          </w:p>
        </w:tc>
        <w:tc>
          <w:tcPr>
            <w:tcW w:w="774" w:type="pct"/>
            <w:shd w:val="clear" w:color="auto" w:fill="E6F2FF"/>
            <w:noWrap/>
          </w:tcPr>
          <w:p w14:paraId="7FC88242" w14:textId="77777777" w:rsidR="004D0F65" w:rsidRPr="00F734D4" w:rsidRDefault="004D0F65" w:rsidP="00042053">
            <w:pPr>
              <w:pStyle w:val="TableTextLeft"/>
            </w:pPr>
          </w:p>
        </w:tc>
      </w:tr>
      <w:tr w:rsidR="004D0F65" w:rsidRPr="00F734D4" w14:paraId="4EA7EED2" w14:textId="77777777" w:rsidTr="00FF4B0A">
        <w:trPr>
          <w:trHeight w:val="228"/>
        </w:trPr>
        <w:tc>
          <w:tcPr>
            <w:tcW w:w="4226" w:type="pct"/>
            <w:shd w:val="clear" w:color="auto" w:fill="auto"/>
            <w:noWrap/>
          </w:tcPr>
          <w:p w14:paraId="32C71AE8" w14:textId="77777777" w:rsidR="004D0F65" w:rsidRPr="00F734D4" w:rsidRDefault="004D0F65" w:rsidP="00042053">
            <w:pPr>
              <w:pStyle w:val="TableTextLeft-Indent"/>
              <w:spacing w:before="0" w:after="0"/>
            </w:pPr>
            <w:r w:rsidRPr="00F734D4">
              <w:t>Australian Naval Infrastructure Pty Ltd – Termination of the Equity Funding Agreement</w:t>
            </w:r>
          </w:p>
        </w:tc>
        <w:tc>
          <w:tcPr>
            <w:tcW w:w="774" w:type="pct"/>
            <w:shd w:val="clear" w:color="auto" w:fill="auto"/>
            <w:noWrap/>
          </w:tcPr>
          <w:p w14:paraId="1B600B8D" w14:textId="77777777" w:rsidR="004D0F65" w:rsidRPr="00F734D4" w:rsidRDefault="004D0F65" w:rsidP="00042053">
            <w:pPr>
              <w:pStyle w:val="TableTextLeft"/>
            </w:pPr>
            <w:r w:rsidRPr="00F734D4">
              <w:rPr>
                <w:rFonts w:eastAsia="Arial" w:cs="Arial"/>
              </w:rPr>
              <w:t>Unchanged</w:t>
            </w:r>
          </w:p>
        </w:tc>
      </w:tr>
      <w:tr w:rsidR="004D0F65" w:rsidRPr="00F734D4" w14:paraId="074A9F80" w14:textId="77777777" w:rsidTr="00FF4B0A">
        <w:trPr>
          <w:trHeight w:val="228"/>
        </w:trPr>
        <w:tc>
          <w:tcPr>
            <w:tcW w:w="4226" w:type="pct"/>
            <w:shd w:val="clear" w:color="auto" w:fill="E6F2FF"/>
            <w:noWrap/>
          </w:tcPr>
          <w:p w14:paraId="1B81DCE3" w14:textId="77777777" w:rsidR="004D0F65" w:rsidRPr="00F734D4" w:rsidRDefault="004D0F65" w:rsidP="00042053">
            <w:pPr>
              <w:pStyle w:val="TableColumnHeadingLeft"/>
            </w:pPr>
            <w:r w:rsidRPr="00F734D4">
              <w:rPr>
                <w:rFonts w:eastAsia="Arial"/>
              </w:rPr>
              <w:t>Contingent liabilities – unquantifiable</w:t>
            </w:r>
          </w:p>
        </w:tc>
        <w:tc>
          <w:tcPr>
            <w:tcW w:w="774" w:type="pct"/>
            <w:shd w:val="clear" w:color="auto" w:fill="E6F2FF"/>
            <w:noWrap/>
          </w:tcPr>
          <w:p w14:paraId="6003A7D6" w14:textId="77777777" w:rsidR="004D0F65" w:rsidRPr="00F734D4" w:rsidRDefault="004D0F65" w:rsidP="00042053">
            <w:pPr>
              <w:pStyle w:val="TableTextLeft"/>
            </w:pPr>
          </w:p>
        </w:tc>
      </w:tr>
      <w:tr w:rsidR="004D0F65" w:rsidRPr="00F734D4" w14:paraId="618EDCA3" w14:textId="77777777" w:rsidTr="00FF4B0A">
        <w:trPr>
          <w:trHeight w:val="228"/>
        </w:trPr>
        <w:tc>
          <w:tcPr>
            <w:tcW w:w="4226" w:type="pct"/>
            <w:shd w:val="clear" w:color="auto" w:fill="auto"/>
            <w:noWrap/>
          </w:tcPr>
          <w:p w14:paraId="54D5B469" w14:textId="5E7609A7" w:rsidR="004D0F65" w:rsidRPr="00F734D4" w:rsidRDefault="004D0F65" w:rsidP="00042053">
            <w:pPr>
              <w:pStyle w:val="TableTextLeft-Indent"/>
              <w:spacing w:before="0" w:after="0"/>
            </w:pPr>
            <w:r w:rsidRPr="00F734D4">
              <w:t>ASC Pty Ltd – Directors</w:t>
            </w:r>
            <w:r w:rsidR="00D737F9">
              <w:t>’</w:t>
            </w:r>
            <w:r w:rsidRPr="00F734D4">
              <w:t xml:space="preserve"> and Executives</w:t>
            </w:r>
            <w:r w:rsidR="00D737F9">
              <w:t>’</w:t>
            </w:r>
            <w:r w:rsidRPr="00F734D4">
              <w:t xml:space="preserve"> indemnities</w:t>
            </w:r>
          </w:p>
        </w:tc>
        <w:tc>
          <w:tcPr>
            <w:tcW w:w="774" w:type="pct"/>
            <w:shd w:val="clear" w:color="auto" w:fill="auto"/>
            <w:noWrap/>
          </w:tcPr>
          <w:p w14:paraId="257701DA" w14:textId="77777777" w:rsidR="004D0F65" w:rsidRPr="00F734D4" w:rsidRDefault="004D0F65" w:rsidP="00042053">
            <w:pPr>
              <w:pStyle w:val="TableTextLeft"/>
              <w:rPr>
                <w:rFonts w:eastAsia="Arial" w:cs="Arial"/>
              </w:rPr>
            </w:pPr>
            <w:r w:rsidRPr="00F734D4">
              <w:t>Unchanged</w:t>
            </w:r>
          </w:p>
        </w:tc>
      </w:tr>
      <w:tr w:rsidR="004D0F65" w:rsidRPr="00F734D4" w14:paraId="2A831F2E" w14:textId="77777777" w:rsidTr="00FF4B0A">
        <w:trPr>
          <w:trHeight w:val="228"/>
        </w:trPr>
        <w:tc>
          <w:tcPr>
            <w:tcW w:w="4226" w:type="pct"/>
            <w:shd w:val="clear" w:color="auto" w:fill="auto"/>
            <w:noWrap/>
          </w:tcPr>
          <w:p w14:paraId="40B34E41" w14:textId="77777777" w:rsidR="004D0F65" w:rsidRPr="00937E6E" w:rsidRDefault="004D0F65" w:rsidP="00937E6E">
            <w:pPr>
              <w:pStyle w:val="TableTextLeft-Indent"/>
            </w:pPr>
            <w:r w:rsidRPr="00937E6E">
              <w:t>ASC Pty Ltd – Guarantee of Indemnity from ASC in favour of ASC Shipbuilding Pty Limited</w:t>
            </w:r>
          </w:p>
        </w:tc>
        <w:tc>
          <w:tcPr>
            <w:tcW w:w="774" w:type="pct"/>
            <w:shd w:val="clear" w:color="auto" w:fill="auto"/>
            <w:noWrap/>
          </w:tcPr>
          <w:p w14:paraId="39CDE2D0" w14:textId="77777777" w:rsidR="004D0F65" w:rsidRPr="00F734D4" w:rsidRDefault="004D0F65" w:rsidP="00042053">
            <w:pPr>
              <w:pStyle w:val="TableTextLeft"/>
              <w:rPr>
                <w:rFonts w:eastAsia="Arial" w:cs="Arial"/>
              </w:rPr>
            </w:pPr>
            <w:r w:rsidRPr="00F734D4">
              <w:t>Unchanged</w:t>
            </w:r>
          </w:p>
        </w:tc>
      </w:tr>
      <w:tr w:rsidR="004D0F65" w:rsidRPr="00F734D4" w14:paraId="47456001" w14:textId="77777777" w:rsidTr="00FF4B0A">
        <w:trPr>
          <w:trHeight w:val="228"/>
        </w:trPr>
        <w:tc>
          <w:tcPr>
            <w:tcW w:w="4226" w:type="pct"/>
            <w:shd w:val="clear" w:color="auto" w:fill="auto"/>
            <w:noWrap/>
          </w:tcPr>
          <w:p w14:paraId="034FE47B" w14:textId="77777777" w:rsidR="004D0F65" w:rsidRPr="00F734D4" w:rsidRDefault="004D0F65" w:rsidP="00042053">
            <w:pPr>
              <w:pStyle w:val="TableTextLeft-Indent"/>
              <w:spacing w:before="0" w:after="0"/>
            </w:pPr>
            <w:r w:rsidRPr="00F734D4">
              <w:t>Australian Government general insurance fund – Comcover</w:t>
            </w:r>
          </w:p>
        </w:tc>
        <w:tc>
          <w:tcPr>
            <w:tcW w:w="774" w:type="pct"/>
            <w:shd w:val="clear" w:color="auto" w:fill="auto"/>
            <w:noWrap/>
          </w:tcPr>
          <w:p w14:paraId="2AFD0213" w14:textId="77777777" w:rsidR="004D0F65" w:rsidRPr="00F734D4" w:rsidRDefault="004D0F65" w:rsidP="00042053">
            <w:pPr>
              <w:pStyle w:val="TableTextLeft"/>
              <w:rPr>
                <w:rFonts w:eastAsia="Arial" w:cs="Arial"/>
              </w:rPr>
            </w:pPr>
            <w:r w:rsidRPr="00F734D4">
              <w:t>Unchanged</w:t>
            </w:r>
          </w:p>
        </w:tc>
      </w:tr>
      <w:tr w:rsidR="004D0F65" w:rsidRPr="00F734D4" w14:paraId="0DDA8547" w14:textId="77777777" w:rsidTr="00FF4B0A">
        <w:trPr>
          <w:trHeight w:val="228"/>
        </w:trPr>
        <w:tc>
          <w:tcPr>
            <w:tcW w:w="4226" w:type="pct"/>
            <w:shd w:val="clear" w:color="auto" w:fill="auto"/>
            <w:noWrap/>
          </w:tcPr>
          <w:p w14:paraId="4B80F3AF" w14:textId="77777777" w:rsidR="004D0F65" w:rsidRPr="00F734D4" w:rsidRDefault="004D0F65" w:rsidP="00042053">
            <w:pPr>
              <w:pStyle w:val="TableTextLeft-Indent"/>
              <w:spacing w:after="0"/>
            </w:pPr>
            <w:r w:rsidRPr="00F734D4">
              <w:t>Commonwealth Superannuation Corporation – immunity and indemnity</w:t>
            </w:r>
          </w:p>
        </w:tc>
        <w:tc>
          <w:tcPr>
            <w:tcW w:w="774" w:type="pct"/>
            <w:shd w:val="clear" w:color="auto" w:fill="auto"/>
            <w:noWrap/>
          </w:tcPr>
          <w:p w14:paraId="2D115AF0" w14:textId="77777777" w:rsidR="004D0F65" w:rsidRPr="00F734D4" w:rsidRDefault="004D0F65" w:rsidP="00042053">
            <w:pPr>
              <w:pStyle w:val="TableTextLeft"/>
              <w:rPr>
                <w:rFonts w:eastAsia="Arial" w:cs="Arial"/>
              </w:rPr>
            </w:pPr>
            <w:r w:rsidRPr="00F734D4">
              <w:rPr>
                <w:rFonts w:eastAsia="Arial" w:cs="Arial"/>
              </w:rPr>
              <w:t>Unchanged</w:t>
            </w:r>
          </w:p>
        </w:tc>
      </w:tr>
      <w:tr w:rsidR="004D0F65" w:rsidRPr="00F734D4" w14:paraId="0785A8D3" w14:textId="77777777" w:rsidTr="00FF4B0A">
        <w:trPr>
          <w:trHeight w:val="228"/>
        </w:trPr>
        <w:tc>
          <w:tcPr>
            <w:tcW w:w="4226" w:type="pct"/>
            <w:shd w:val="clear" w:color="auto" w:fill="auto"/>
            <w:noWrap/>
          </w:tcPr>
          <w:p w14:paraId="1337B157" w14:textId="77777777" w:rsidR="004D0F65" w:rsidRPr="00F734D4" w:rsidRDefault="004D0F65" w:rsidP="00042053">
            <w:pPr>
              <w:pStyle w:val="TableTextLeft-Indent"/>
              <w:spacing w:after="0"/>
            </w:pPr>
            <w:r w:rsidRPr="00F734D4">
              <w:t xml:space="preserve">Finance owned estate </w:t>
            </w:r>
          </w:p>
        </w:tc>
        <w:tc>
          <w:tcPr>
            <w:tcW w:w="774" w:type="pct"/>
            <w:shd w:val="clear" w:color="auto" w:fill="auto"/>
            <w:noWrap/>
          </w:tcPr>
          <w:p w14:paraId="5A9B0117" w14:textId="77777777" w:rsidR="004D0F65" w:rsidRPr="00F734D4" w:rsidRDefault="004D0F65" w:rsidP="00042053">
            <w:pPr>
              <w:pStyle w:val="TableTextLeft"/>
              <w:rPr>
                <w:rFonts w:eastAsia="Arial" w:cs="Arial"/>
              </w:rPr>
            </w:pPr>
            <w:r>
              <w:rPr>
                <w:rFonts w:eastAsia="Arial" w:cs="Arial"/>
              </w:rPr>
              <w:t>Unchanged</w:t>
            </w:r>
          </w:p>
        </w:tc>
      </w:tr>
      <w:tr w:rsidR="004D0F65" w:rsidRPr="00F734D4" w14:paraId="23B10891" w14:textId="77777777" w:rsidTr="00FF4B0A">
        <w:trPr>
          <w:trHeight w:val="228"/>
        </w:trPr>
        <w:tc>
          <w:tcPr>
            <w:tcW w:w="4226" w:type="pct"/>
            <w:shd w:val="clear" w:color="auto" w:fill="auto"/>
            <w:noWrap/>
          </w:tcPr>
          <w:p w14:paraId="2DAA557C" w14:textId="77777777" w:rsidR="004D0F65" w:rsidRPr="00F734D4" w:rsidRDefault="004D0F65" w:rsidP="00042053">
            <w:pPr>
              <w:pStyle w:val="TableTextLeft-Indent"/>
              <w:spacing w:after="0"/>
            </w:pPr>
            <w:r w:rsidRPr="00F734D4">
              <w:t>Future Fund Management Agency and Future Fund Board of Guardians – indemnity</w:t>
            </w:r>
          </w:p>
        </w:tc>
        <w:tc>
          <w:tcPr>
            <w:tcW w:w="774" w:type="pct"/>
            <w:shd w:val="clear" w:color="auto" w:fill="auto"/>
            <w:noWrap/>
          </w:tcPr>
          <w:p w14:paraId="7A9E3DAD" w14:textId="77777777" w:rsidR="004D0F65" w:rsidRPr="00F734D4" w:rsidRDefault="004D0F65" w:rsidP="00042053">
            <w:pPr>
              <w:pStyle w:val="TableTextLeft"/>
              <w:rPr>
                <w:rFonts w:eastAsia="Arial" w:cs="Arial"/>
              </w:rPr>
            </w:pPr>
            <w:r>
              <w:t>Unchanged</w:t>
            </w:r>
          </w:p>
        </w:tc>
      </w:tr>
      <w:tr w:rsidR="004D0F65" w:rsidRPr="00F734D4" w14:paraId="4731D73F" w14:textId="77777777" w:rsidTr="00FF4B0A">
        <w:trPr>
          <w:trHeight w:val="228"/>
        </w:trPr>
        <w:tc>
          <w:tcPr>
            <w:tcW w:w="4226" w:type="pct"/>
            <w:shd w:val="clear" w:color="auto" w:fill="auto"/>
            <w:noWrap/>
          </w:tcPr>
          <w:p w14:paraId="59A259BF" w14:textId="77777777" w:rsidR="004D0F65" w:rsidRPr="00F734D4" w:rsidRDefault="004D0F65" w:rsidP="00042053">
            <w:pPr>
              <w:pStyle w:val="TableTextLeft-Indent"/>
              <w:spacing w:after="0"/>
            </w:pPr>
            <w:r w:rsidRPr="00F734D4">
              <w:t>Googong Dam</w:t>
            </w:r>
          </w:p>
        </w:tc>
        <w:tc>
          <w:tcPr>
            <w:tcW w:w="774" w:type="pct"/>
            <w:shd w:val="clear" w:color="auto" w:fill="auto"/>
            <w:noWrap/>
          </w:tcPr>
          <w:p w14:paraId="4459E1A2" w14:textId="77777777" w:rsidR="004D0F65" w:rsidRPr="00F734D4" w:rsidRDefault="004D0F65" w:rsidP="00042053">
            <w:pPr>
              <w:pStyle w:val="TableTextLeft"/>
              <w:rPr>
                <w:rFonts w:eastAsia="Arial" w:cs="Arial"/>
              </w:rPr>
            </w:pPr>
            <w:r w:rsidRPr="00F734D4">
              <w:t>Unchanged</w:t>
            </w:r>
          </w:p>
        </w:tc>
      </w:tr>
      <w:tr w:rsidR="004D0F65" w:rsidRPr="00F734D4" w14:paraId="1898E69F" w14:textId="77777777" w:rsidTr="00FF4B0A">
        <w:trPr>
          <w:trHeight w:val="228"/>
        </w:trPr>
        <w:tc>
          <w:tcPr>
            <w:tcW w:w="4226" w:type="pct"/>
            <w:shd w:val="clear" w:color="auto" w:fill="auto"/>
            <w:noWrap/>
          </w:tcPr>
          <w:p w14:paraId="5E1B6C18" w14:textId="77777777" w:rsidR="004D0F65" w:rsidRPr="00F734D4" w:rsidRDefault="004D0F65" w:rsidP="00042053">
            <w:pPr>
              <w:pStyle w:val="TableTextLeft-Indent"/>
              <w:spacing w:after="0"/>
            </w:pPr>
            <w:r w:rsidRPr="00F734D4">
              <w:t>Indemnities for the Reserve Bank of Australia and private sector banks</w:t>
            </w:r>
          </w:p>
        </w:tc>
        <w:tc>
          <w:tcPr>
            <w:tcW w:w="774" w:type="pct"/>
            <w:shd w:val="clear" w:color="auto" w:fill="auto"/>
            <w:noWrap/>
          </w:tcPr>
          <w:p w14:paraId="5D0EB73F" w14:textId="77777777" w:rsidR="004D0F65" w:rsidRPr="00F734D4" w:rsidRDefault="004D0F65" w:rsidP="00042053">
            <w:pPr>
              <w:pStyle w:val="TableTextLeft"/>
              <w:rPr>
                <w:rFonts w:eastAsia="Arial" w:cs="Arial"/>
              </w:rPr>
            </w:pPr>
            <w:r w:rsidRPr="00F734D4">
              <w:rPr>
                <w:rFonts w:eastAsia="Arial" w:cs="Arial"/>
              </w:rPr>
              <w:t>Unchanged</w:t>
            </w:r>
          </w:p>
        </w:tc>
      </w:tr>
      <w:tr w:rsidR="004D0F65" w:rsidRPr="00F734D4" w14:paraId="03CDF140" w14:textId="77777777" w:rsidTr="00FF4B0A">
        <w:trPr>
          <w:trHeight w:val="228"/>
        </w:trPr>
        <w:tc>
          <w:tcPr>
            <w:tcW w:w="4226" w:type="pct"/>
            <w:shd w:val="clear" w:color="auto" w:fill="auto"/>
            <w:noWrap/>
          </w:tcPr>
          <w:p w14:paraId="3CD42978" w14:textId="77777777" w:rsidR="004D0F65" w:rsidRPr="00F734D4" w:rsidRDefault="004D0F65" w:rsidP="00CB295C">
            <w:pPr>
              <w:pStyle w:val="TableTextLeft-Indent"/>
            </w:pPr>
            <w:r w:rsidRPr="00F734D4">
              <w:t>Indemnities relating to other former asset sales, privatisations and information technology outsourcing projects</w:t>
            </w:r>
          </w:p>
        </w:tc>
        <w:tc>
          <w:tcPr>
            <w:tcW w:w="774" w:type="pct"/>
            <w:shd w:val="clear" w:color="auto" w:fill="auto"/>
            <w:noWrap/>
          </w:tcPr>
          <w:p w14:paraId="3247B3EA" w14:textId="77777777" w:rsidR="004D0F65" w:rsidRPr="00F734D4" w:rsidRDefault="004D0F65" w:rsidP="00042053">
            <w:pPr>
              <w:pStyle w:val="TableTextLeft"/>
              <w:rPr>
                <w:rFonts w:eastAsia="Arial" w:cs="Arial"/>
              </w:rPr>
            </w:pPr>
            <w:r>
              <w:rPr>
                <w:rFonts w:eastAsia="Arial" w:cs="Arial"/>
              </w:rPr>
              <w:t>Unchanged</w:t>
            </w:r>
          </w:p>
        </w:tc>
      </w:tr>
      <w:tr w:rsidR="004D0F65" w:rsidRPr="00F734D4" w14:paraId="359CFB38" w14:textId="77777777" w:rsidTr="00FF4B0A">
        <w:trPr>
          <w:trHeight w:val="228"/>
        </w:trPr>
        <w:tc>
          <w:tcPr>
            <w:tcW w:w="4226" w:type="pct"/>
            <w:shd w:val="clear" w:color="auto" w:fill="E6F2FF"/>
            <w:noWrap/>
          </w:tcPr>
          <w:p w14:paraId="0EACE48B" w14:textId="77777777" w:rsidR="004D0F65" w:rsidRPr="00F734D4" w:rsidRDefault="004D0F65" w:rsidP="00042053">
            <w:pPr>
              <w:pStyle w:val="TableColumnHeadingLeft"/>
            </w:pPr>
            <w:r w:rsidRPr="00F734D4">
              <w:t>Foreign Affairs and Trade</w:t>
            </w:r>
          </w:p>
        </w:tc>
        <w:tc>
          <w:tcPr>
            <w:tcW w:w="774" w:type="pct"/>
            <w:shd w:val="clear" w:color="auto" w:fill="E6F2FF"/>
            <w:noWrap/>
          </w:tcPr>
          <w:p w14:paraId="19C85621" w14:textId="77777777" w:rsidR="004D0F65" w:rsidRPr="00F734D4" w:rsidRDefault="004D0F65" w:rsidP="00042053">
            <w:pPr>
              <w:pStyle w:val="TableColumnHeadingLeft"/>
            </w:pPr>
            <w:r w:rsidRPr="00F734D4">
              <w:t>Status</w:t>
            </w:r>
          </w:p>
        </w:tc>
      </w:tr>
      <w:tr w:rsidR="004D0F65" w:rsidRPr="00F734D4" w14:paraId="1886F534" w14:textId="77777777" w:rsidTr="00FF4B0A">
        <w:trPr>
          <w:trHeight w:val="228"/>
        </w:trPr>
        <w:tc>
          <w:tcPr>
            <w:tcW w:w="4226" w:type="pct"/>
            <w:shd w:val="clear" w:color="auto" w:fill="E6F2FF"/>
            <w:noWrap/>
          </w:tcPr>
          <w:p w14:paraId="625E54E7" w14:textId="77777777" w:rsidR="004D0F65" w:rsidRPr="00F734D4" w:rsidRDefault="004D0F65" w:rsidP="00042053">
            <w:pPr>
              <w:pStyle w:val="TableColumnHeadingLeft"/>
            </w:pPr>
            <w:r w:rsidRPr="00F734D4">
              <w:rPr>
                <w:rFonts w:eastAsia="Arial"/>
              </w:rPr>
              <w:t>Fiscal Risk</w:t>
            </w:r>
          </w:p>
        </w:tc>
        <w:tc>
          <w:tcPr>
            <w:tcW w:w="774" w:type="pct"/>
            <w:shd w:val="clear" w:color="auto" w:fill="E6F2FF"/>
            <w:noWrap/>
          </w:tcPr>
          <w:p w14:paraId="57EC1FA6" w14:textId="77777777" w:rsidR="004D0F65" w:rsidRPr="00F734D4" w:rsidRDefault="004D0F65" w:rsidP="00042053">
            <w:pPr>
              <w:pStyle w:val="TableColumnHeadingRight"/>
            </w:pPr>
          </w:p>
        </w:tc>
      </w:tr>
      <w:tr w:rsidR="004D0F65" w:rsidRPr="00F734D4" w14:paraId="4A7ADFD4" w14:textId="77777777" w:rsidTr="00FF4B0A">
        <w:trPr>
          <w:trHeight w:val="228"/>
        </w:trPr>
        <w:tc>
          <w:tcPr>
            <w:tcW w:w="4226" w:type="pct"/>
            <w:shd w:val="clear" w:color="auto" w:fill="auto"/>
            <w:noWrap/>
          </w:tcPr>
          <w:p w14:paraId="0C7993D3" w14:textId="77777777" w:rsidR="004D0F65" w:rsidRPr="00F734D4" w:rsidRDefault="004D0F65" w:rsidP="00042053">
            <w:pPr>
              <w:pStyle w:val="TableTextLeft-Indent"/>
              <w:spacing w:after="0"/>
            </w:pPr>
            <w:r w:rsidRPr="00F734D4">
              <w:t>Export Finance Australia – National Interest Account</w:t>
            </w:r>
          </w:p>
        </w:tc>
        <w:tc>
          <w:tcPr>
            <w:tcW w:w="774" w:type="pct"/>
            <w:shd w:val="clear" w:color="auto" w:fill="auto"/>
            <w:noWrap/>
          </w:tcPr>
          <w:p w14:paraId="2F28C784" w14:textId="77777777" w:rsidR="004D0F65" w:rsidRPr="00F734D4" w:rsidRDefault="004D0F65" w:rsidP="00042053">
            <w:pPr>
              <w:pStyle w:val="TableTextLeft"/>
            </w:pPr>
            <w:r w:rsidRPr="00F734D4">
              <w:t>Modified</w:t>
            </w:r>
          </w:p>
        </w:tc>
      </w:tr>
      <w:tr w:rsidR="004D0F65" w:rsidRPr="00F734D4" w14:paraId="4851407C" w14:textId="77777777" w:rsidTr="00FF4B0A">
        <w:trPr>
          <w:trHeight w:val="228"/>
        </w:trPr>
        <w:tc>
          <w:tcPr>
            <w:tcW w:w="4226" w:type="pct"/>
            <w:shd w:val="clear" w:color="auto" w:fill="E6F2FF"/>
            <w:noWrap/>
          </w:tcPr>
          <w:p w14:paraId="66E9AFCA" w14:textId="77777777" w:rsidR="004D0F65" w:rsidRPr="00F734D4" w:rsidRDefault="004D0F65" w:rsidP="00042053">
            <w:pPr>
              <w:pStyle w:val="TableColumnHeadingLeft"/>
              <w:rPr>
                <w:rFonts w:eastAsia="Calibri"/>
              </w:rPr>
            </w:pPr>
            <w:r w:rsidRPr="00F734D4">
              <w:rPr>
                <w:rFonts w:eastAsia="Arial"/>
              </w:rPr>
              <w:t>Contingent liability – quantifiable</w:t>
            </w:r>
          </w:p>
        </w:tc>
        <w:tc>
          <w:tcPr>
            <w:tcW w:w="774" w:type="pct"/>
            <w:shd w:val="clear" w:color="auto" w:fill="E6F2FF"/>
            <w:noWrap/>
          </w:tcPr>
          <w:p w14:paraId="2E09C82D" w14:textId="77777777" w:rsidR="004D0F65" w:rsidRPr="00F734D4" w:rsidRDefault="004D0F65" w:rsidP="00042053">
            <w:pPr>
              <w:pStyle w:val="TableTextLeft"/>
            </w:pPr>
          </w:p>
        </w:tc>
      </w:tr>
      <w:tr w:rsidR="004D0F65" w:rsidRPr="00F734D4" w14:paraId="6EAA3D6C" w14:textId="77777777" w:rsidTr="00FF4B0A">
        <w:trPr>
          <w:trHeight w:val="228"/>
        </w:trPr>
        <w:tc>
          <w:tcPr>
            <w:tcW w:w="4226" w:type="pct"/>
            <w:shd w:val="clear" w:color="auto" w:fill="auto"/>
            <w:noWrap/>
          </w:tcPr>
          <w:p w14:paraId="7023C297" w14:textId="77777777" w:rsidR="004D0F65" w:rsidRPr="00F734D4" w:rsidRDefault="004D0F65" w:rsidP="00042053">
            <w:pPr>
              <w:pStyle w:val="TableTextLeft-Indent"/>
              <w:spacing w:after="0"/>
            </w:pPr>
            <w:r w:rsidRPr="00F734D4">
              <w:t>Export Finance Australia</w:t>
            </w:r>
          </w:p>
        </w:tc>
        <w:tc>
          <w:tcPr>
            <w:tcW w:w="774" w:type="pct"/>
            <w:shd w:val="clear" w:color="auto" w:fill="auto"/>
            <w:noWrap/>
          </w:tcPr>
          <w:p w14:paraId="26ED0A20" w14:textId="77777777" w:rsidR="004D0F65" w:rsidRPr="00F734D4" w:rsidRDefault="004D0F65" w:rsidP="00042053">
            <w:pPr>
              <w:pStyle w:val="TableTextLeft"/>
            </w:pPr>
            <w:r w:rsidRPr="00F734D4">
              <w:t>Modified</w:t>
            </w:r>
          </w:p>
        </w:tc>
      </w:tr>
      <w:tr w:rsidR="004D0F65" w:rsidRPr="00F734D4" w14:paraId="48789DC1" w14:textId="77777777" w:rsidTr="00FF4B0A">
        <w:trPr>
          <w:trHeight w:val="228"/>
        </w:trPr>
        <w:tc>
          <w:tcPr>
            <w:tcW w:w="4226" w:type="pct"/>
            <w:shd w:val="clear" w:color="auto" w:fill="E6F2FF"/>
            <w:noWrap/>
          </w:tcPr>
          <w:p w14:paraId="1403433C" w14:textId="77777777" w:rsidR="004D0F65" w:rsidRPr="00F734D4" w:rsidRDefault="004D0F65" w:rsidP="00042053">
            <w:pPr>
              <w:pStyle w:val="TableColumnHeadingLeft"/>
            </w:pPr>
            <w:r w:rsidRPr="00F734D4">
              <w:t>Health and Aged Care</w:t>
            </w:r>
          </w:p>
        </w:tc>
        <w:tc>
          <w:tcPr>
            <w:tcW w:w="774" w:type="pct"/>
            <w:shd w:val="clear" w:color="auto" w:fill="E6F2FF"/>
            <w:noWrap/>
          </w:tcPr>
          <w:p w14:paraId="5C3716F5" w14:textId="77777777" w:rsidR="004D0F65" w:rsidRPr="00F734D4" w:rsidRDefault="004D0F65" w:rsidP="00042053">
            <w:pPr>
              <w:pStyle w:val="TableColumnHeadingLeft"/>
            </w:pPr>
            <w:r w:rsidRPr="00F734D4">
              <w:t>Status</w:t>
            </w:r>
          </w:p>
        </w:tc>
      </w:tr>
      <w:tr w:rsidR="004D0F65" w:rsidRPr="00F734D4" w14:paraId="5C7B1E2B" w14:textId="77777777" w:rsidTr="00FF4B0A">
        <w:trPr>
          <w:trHeight w:val="228"/>
        </w:trPr>
        <w:tc>
          <w:tcPr>
            <w:tcW w:w="4226" w:type="pct"/>
            <w:shd w:val="clear" w:color="auto" w:fill="E6F2FF"/>
            <w:noWrap/>
          </w:tcPr>
          <w:p w14:paraId="5648CC67" w14:textId="77777777" w:rsidR="004D0F65" w:rsidRPr="00F734D4" w:rsidRDefault="004D0F65" w:rsidP="00042053">
            <w:pPr>
              <w:pStyle w:val="TableColumnHeadingLeft"/>
              <w:rPr>
                <w:rFonts w:eastAsia="Arial" w:cs="Arial"/>
              </w:rPr>
            </w:pPr>
            <w:r w:rsidRPr="00F734D4">
              <w:rPr>
                <w:rFonts w:eastAsia="Arial"/>
              </w:rPr>
              <w:t>Fiscal Risk</w:t>
            </w:r>
          </w:p>
        </w:tc>
        <w:tc>
          <w:tcPr>
            <w:tcW w:w="774" w:type="pct"/>
            <w:shd w:val="clear" w:color="auto" w:fill="E6F2FF"/>
            <w:noWrap/>
          </w:tcPr>
          <w:p w14:paraId="41D67CB6" w14:textId="77777777" w:rsidR="004D0F65" w:rsidRPr="00F734D4" w:rsidRDefault="004D0F65" w:rsidP="00042053">
            <w:pPr>
              <w:pStyle w:val="TableTextLeft"/>
            </w:pPr>
          </w:p>
        </w:tc>
      </w:tr>
      <w:tr w:rsidR="004D0F65" w:rsidRPr="00F734D4" w14:paraId="3701DA27" w14:textId="77777777" w:rsidTr="00FF4B0A">
        <w:trPr>
          <w:trHeight w:val="228"/>
        </w:trPr>
        <w:tc>
          <w:tcPr>
            <w:tcW w:w="4226" w:type="pct"/>
            <w:shd w:val="clear" w:color="auto" w:fill="auto"/>
            <w:noWrap/>
          </w:tcPr>
          <w:p w14:paraId="7A413F78" w14:textId="77777777" w:rsidR="004D0F65" w:rsidRPr="00F734D4" w:rsidRDefault="004D0F65" w:rsidP="00042053">
            <w:pPr>
              <w:pStyle w:val="TableTextLeft-Indent"/>
              <w:spacing w:after="0"/>
              <w:rPr>
                <w:rFonts w:eastAsia="Arial" w:cs="Arial"/>
                <w:b/>
                <w:bCs/>
              </w:rPr>
            </w:pPr>
            <w:r w:rsidRPr="00F734D4">
              <w:t>Fair Work Commission decision – Aged Care Work Value Case</w:t>
            </w:r>
          </w:p>
        </w:tc>
        <w:tc>
          <w:tcPr>
            <w:tcW w:w="774" w:type="pct"/>
            <w:shd w:val="clear" w:color="auto" w:fill="auto"/>
            <w:noWrap/>
          </w:tcPr>
          <w:p w14:paraId="342CD55B" w14:textId="77777777" w:rsidR="004D0F65" w:rsidRPr="00F734D4" w:rsidRDefault="004D0F65" w:rsidP="00042053">
            <w:pPr>
              <w:pStyle w:val="TableTextLeft"/>
              <w:rPr>
                <w:b/>
                <w:bCs/>
              </w:rPr>
            </w:pPr>
            <w:r>
              <w:rPr>
                <w:rFonts w:eastAsia="Arial" w:cs="Arial"/>
              </w:rPr>
              <w:t>Modified</w:t>
            </w:r>
          </w:p>
        </w:tc>
      </w:tr>
      <w:tr w:rsidR="004D0F65" w:rsidRPr="00F734D4" w14:paraId="663C96F4" w14:textId="77777777" w:rsidTr="00FF4B0A">
        <w:trPr>
          <w:trHeight w:val="228"/>
        </w:trPr>
        <w:tc>
          <w:tcPr>
            <w:tcW w:w="4226" w:type="pct"/>
            <w:shd w:val="clear" w:color="auto" w:fill="E6F2FF"/>
            <w:noWrap/>
          </w:tcPr>
          <w:p w14:paraId="5D1AD8B1" w14:textId="77777777" w:rsidR="004D0F65" w:rsidRPr="00F734D4" w:rsidRDefault="004D0F65" w:rsidP="00042053">
            <w:pPr>
              <w:pStyle w:val="TableColumnHeadingLeft"/>
              <w:rPr>
                <w:rFonts w:eastAsia="Calibri"/>
              </w:rPr>
            </w:pPr>
            <w:r w:rsidRPr="00F734D4">
              <w:rPr>
                <w:rFonts w:eastAsia="Arial"/>
              </w:rPr>
              <w:t>Contingent liabilities – unquantifiable</w:t>
            </w:r>
          </w:p>
        </w:tc>
        <w:tc>
          <w:tcPr>
            <w:tcW w:w="774" w:type="pct"/>
            <w:shd w:val="clear" w:color="auto" w:fill="E6F2FF"/>
            <w:noWrap/>
          </w:tcPr>
          <w:p w14:paraId="69F7E5ED" w14:textId="77777777" w:rsidR="004D0F65" w:rsidRPr="00F734D4" w:rsidRDefault="004D0F65" w:rsidP="00042053">
            <w:pPr>
              <w:pStyle w:val="TableTextLeft"/>
            </w:pPr>
          </w:p>
        </w:tc>
      </w:tr>
      <w:tr w:rsidR="004D0F65" w:rsidRPr="00F734D4" w14:paraId="15BD0BFD" w14:textId="77777777" w:rsidTr="00FF4B0A">
        <w:trPr>
          <w:trHeight w:val="228"/>
        </w:trPr>
        <w:tc>
          <w:tcPr>
            <w:tcW w:w="4226" w:type="pct"/>
            <w:noWrap/>
          </w:tcPr>
          <w:p w14:paraId="3D77F106" w14:textId="77777777" w:rsidR="004D0F65" w:rsidRPr="00F734D4" w:rsidRDefault="004D0F65" w:rsidP="00042053">
            <w:pPr>
              <w:pStyle w:val="TableTextLeft-Indent"/>
              <w:spacing w:after="0"/>
            </w:pPr>
            <w:r w:rsidRPr="00F734D4">
              <w:t>Accommodation Payment Guarantee Scheme</w:t>
            </w:r>
          </w:p>
        </w:tc>
        <w:tc>
          <w:tcPr>
            <w:tcW w:w="774" w:type="pct"/>
            <w:noWrap/>
          </w:tcPr>
          <w:p w14:paraId="3D66399D" w14:textId="77777777" w:rsidR="004D0F65" w:rsidRPr="00F734D4" w:rsidRDefault="004D0F65" w:rsidP="00042053">
            <w:pPr>
              <w:pStyle w:val="TableTextLeft"/>
            </w:pPr>
            <w:r w:rsidRPr="00F734D4">
              <w:t>Unchanged</w:t>
            </w:r>
          </w:p>
        </w:tc>
      </w:tr>
      <w:tr w:rsidR="004D0F65" w:rsidRPr="00F734D4" w14:paraId="503C4E36" w14:textId="77777777" w:rsidTr="00FF4B0A">
        <w:trPr>
          <w:trHeight w:val="228"/>
        </w:trPr>
        <w:tc>
          <w:tcPr>
            <w:tcW w:w="4226" w:type="pct"/>
            <w:noWrap/>
          </w:tcPr>
          <w:p w14:paraId="1081951F" w14:textId="6CB1F633" w:rsidR="004D0F65" w:rsidRPr="00F734D4" w:rsidRDefault="004D0F65" w:rsidP="00042053">
            <w:pPr>
              <w:pStyle w:val="TableTextLeft-Indent"/>
              <w:spacing w:after="0"/>
            </w:pPr>
            <w:r w:rsidRPr="00F734D4">
              <w:t>Advance Purchasing Agreements for COVID</w:t>
            </w:r>
            <w:r w:rsidR="00D737F9">
              <w:noBreakHyphen/>
            </w:r>
            <w:r w:rsidRPr="00F734D4">
              <w:t>19 vaccines</w:t>
            </w:r>
          </w:p>
        </w:tc>
        <w:tc>
          <w:tcPr>
            <w:tcW w:w="774" w:type="pct"/>
            <w:noWrap/>
          </w:tcPr>
          <w:p w14:paraId="5642802E" w14:textId="77777777" w:rsidR="004D0F65" w:rsidRPr="00F734D4" w:rsidRDefault="004D0F65" w:rsidP="00042053">
            <w:pPr>
              <w:pStyle w:val="TableTextLeft"/>
            </w:pPr>
            <w:r>
              <w:t>Unchanged</w:t>
            </w:r>
          </w:p>
        </w:tc>
      </w:tr>
      <w:tr w:rsidR="004D0F65" w:rsidRPr="00F734D4" w14:paraId="53BD16BB" w14:textId="77777777" w:rsidTr="00FF4B0A">
        <w:trPr>
          <w:trHeight w:val="228"/>
        </w:trPr>
        <w:tc>
          <w:tcPr>
            <w:tcW w:w="4226" w:type="pct"/>
            <w:noWrap/>
          </w:tcPr>
          <w:p w14:paraId="34913DDE" w14:textId="77777777" w:rsidR="004D0F65" w:rsidRPr="00F734D4" w:rsidRDefault="004D0F65" w:rsidP="00042053">
            <w:pPr>
              <w:pStyle w:val="TableTextLeft-Indent"/>
              <w:spacing w:after="0"/>
            </w:pPr>
            <w:r w:rsidRPr="00F734D4">
              <w:t>Australian Red Cross Society – indemnities</w:t>
            </w:r>
          </w:p>
        </w:tc>
        <w:tc>
          <w:tcPr>
            <w:tcW w:w="774" w:type="pct"/>
            <w:noWrap/>
          </w:tcPr>
          <w:p w14:paraId="42FF35BB" w14:textId="77777777" w:rsidR="004D0F65" w:rsidRPr="00F734D4" w:rsidRDefault="004D0F65" w:rsidP="00042053">
            <w:pPr>
              <w:pStyle w:val="TableTextLeft"/>
            </w:pPr>
            <w:r w:rsidRPr="00F734D4">
              <w:rPr>
                <w:rFonts w:eastAsia="Arial" w:cs="Arial"/>
              </w:rPr>
              <w:t>Unchanged</w:t>
            </w:r>
          </w:p>
        </w:tc>
      </w:tr>
      <w:tr w:rsidR="004D0F65" w:rsidRPr="00F734D4" w14:paraId="4BB9944C" w14:textId="77777777" w:rsidTr="00FF4B0A">
        <w:trPr>
          <w:trHeight w:val="228"/>
        </w:trPr>
        <w:tc>
          <w:tcPr>
            <w:tcW w:w="4226" w:type="pct"/>
            <w:noWrap/>
          </w:tcPr>
          <w:p w14:paraId="181DEEEF" w14:textId="77777777" w:rsidR="004D0F65" w:rsidRPr="00F734D4" w:rsidRDefault="004D0F65" w:rsidP="00042053">
            <w:pPr>
              <w:pStyle w:val="TableTextLeft-Indent"/>
              <w:spacing w:after="0"/>
            </w:pPr>
            <w:r w:rsidRPr="00F734D4">
              <w:t>Blood and blood products liability cover</w:t>
            </w:r>
          </w:p>
        </w:tc>
        <w:tc>
          <w:tcPr>
            <w:tcW w:w="774" w:type="pct"/>
            <w:noWrap/>
          </w:tcPr>
          <w:p w14:paraId="4F6408FC" w14:textId="77777777" w:rsidR="004D0F65" w:rsidRPr="00F734D4" w:rsidRDefault="004D0F65" w:rsidP="00042053">
            <w:pPr>
              <w:pStyle w:val="TableTextLeft"/>
            </w:pPr>
            <w:r w:rsidRPr="00F734D4">
              <w:t>Unchanged</w:t>
            </w:r>
          </w:p>
        </w:tc>
      </w:tr>
      <w:tr w:rsidR="004D0F65" w:rsidRPr="00F734D4" w14:paraId="65ED86E2" w14:textId="77777777" w:rsidTr="00FF4B0A">
        <w:trPr>
          <w:trHeight w:val="228"/>
        </w:trPr>
        <w:tc>
          <w:tcPr>
            <w:tcW w:w="4226" w:type="pct"/>
            <w:noWrap/>
          </w:tcPr>
          <w:p w14:paraId="297AFEE7" w14:textId="77777777" w:rsidR="004D0F65" w:rsidRPr="00F734D4" w:rsidRDefault="004D0F65" w:rsidP="00042053">
            <w:pPr>
              <w:pStyle w:val="TableTextLeft-Indent"/>
              <w:spacing w:after="0"/>
            </w:pPr>
            <w:r w:rsidRPr="00F734D4">
              <w:t>CSL Ltd</w:t>
            </w:r>
          </w:p>
        </w:tc>
        <w:tc>
          <w:tcPr>
            <w:tcW w:w="774" w:type="pct"/>
            <w:noWrap/>
          </w:tcPr>
          <w:p w14:paraId="6E91AED8" w14:textId="77777777" w:rsidR="004D0F65" w:rsidRPr="00F734D4" w:rsidRDefault="004D0F65" w:rsidP="00042053">
            <w:pPr>
              <w:pStyle w:val="TableTextLeft"/>
            </w:pPr>
            <w:r w:rsidRPr="00F734D4">
              <w:t>Unchanged</w:t>
            </w:r>
          </w:p>
        </w:tc>
      </w:tr>
      <w:tr w:rsidR="004D0F65" w:rsidRPr="00F734D4" w14:paraId="1928478B" w14:textId="77777777" w:rsidTr="00FF4B0A">
        <w:trPr>
          <w:trHeight w:val="228"/>
        </w:trPr>
        <w:tc>
          <w:tcPr>
            <w:tcW w:w="4226" w:type="pct"/>
            <w:noWrap/>
          </w:tcPr>
          <w:p w14:paraId="645C7406" w14:textId="77777777" w:rsidR="004D0F65" w:rsidRPr="00F734D4" w:rsidRDefault="004D0F65" w:rsidP="00042053">
            <w:pPr>
              <w:pStyle w:val="TableTextLeft-Indent"/>
              <w:spacing w:after="0"/>
            </w:pPr>
            <w:r w:rsidRPr="00F734D4">
              <w:t>Indemnities relating to vaccines</w:t>
            </w:r>
          </w:p>
        </w:tc>
        <w:tc>
          <w:tcPr>
            <w:tcW w:w="774" w:type="pct"/>
            <w:noWrap/>
          </w:tcPr>
          <w:p w14:paraId="49DC07E9" w14:textId="77777777" w:rsidR="004D0F65" w:rsidRPr="00F734D4" w:rsidRDefault="004D0F65" w:rsidP="00042053">
            <w:pPr>
              <w:pStyle w:val="TableTextLeft"/>
            </w:pPr>
            <w:r w:rsidRPr="00F734D4">
              <w:t>Unchanged</w:t>
            </w:r>
          </w:p>
        </w:tc>
      </w:tr>
      <w:tr w:rsidR="004D0F65" w:rsidRPr="00F734D4" w14:paraId="47AA7387" w14:textId="77777777" w:rsidTr="00FF4B0A">
        <w:trPr>
          <w:trHeight w:val="228"/>
        </w:trPr>
        <w:tc>
          <w:tcPr>
            <w:tcW w:w="4226" w:type="pct"/>
            <w:noWrap/>
          </w:tcPr>
          <w:p w14:paraId="394D676E" w14:textId="77777777" w:rsidR="004D0F65" w:rsidRPr="00F734D4" w:rsidRDefault="004D0F65" w:rsidP="00042053">
            <w:pPr>
              <w:pStyle w:val="TableTextLeft-Indent"/>
              <w:spacing w:after="0"/>
            </w:pPr>
            <w:r w:rsidRPr="00F734D4">
              <w:t xml:space="preserve">Major sporting events </w:t>
            </w:r>
          </w:p>
        </w:tc>
        <w:tc>
          <w:tcPr>
            <w:tcW w:w="774" w:type="pct"/>
            <w:noWrap/>
          </w:tcPr>
          <w:p w14:paraId="6985A8D2" w14:textId="77777777" w:rsidR="004D0F65" w:rsidRPr="00F734D4" w:rsidDel="00B1073A" w:rsidRDefault="004D0F65" w:rsidP="00042053">
            <w:pPr>
              <w:pStyle w:val="TableTextLeft"/>
            </w:pPr>
            <w:r>
              <w:t>Unchanged</w:t>
            </w:r>
          </w:p>
        </w:tc>
      </w:tr>
      <w:tr w:rsidR="004D0F65" w:rsidRPr="00F734D4" w14:paraId="062BFAFD" w14:textId="77777777" w:rsidTr="00FF4B0A">
        <w:trPr>
          <w:trHeight w:val="228"/>
        </w:trPr>
        <w:tc>
          <w:tcPr>
            <w:tcW w:w="4226" w:type="pct"/>
            <w:noWrap/>
          </w:tcPr>
          <w:p w14:paraId="711EE9D1" w14:textId="77777777" w:rsidR="004D0F65" w:rsidRPr="00F734D4" w:rsidRDefault="004D0F65" w:rsidP="00042053">
            <w:pPr>
              <w:pStyle w:val="TableTextLeft-Indent"/>
              <w:spacing w:after="0"/>
            </w:pPr>
            <w:r w:rsidRPr="00F734D4">
              <w:t>Medical Indemnity Exceptional Claims Scheme</w:t>
            </w:r>
          </w:p>
        </w:tc>
        <w:tc>
          <w:tcPr>
            <w:tcW w:w="774" w:type="pct"/>
            <w:noWrap/>
          </w:tcPr>
          <w:p w14:paraId="49FCE6B8" w14:textId="77777777" w:rsidR="004D0F65" w:rsidRPr="00F734D4" w:rsidRDefault="004D0F65" w:rsidP="00042053">
            <w:pPr>
              <w:pStyle w:val="TableTextLeft"/>
            </w:pPr>
            <w:r w:rsidRPr="00F734D4">
              <w:t>Unchanged</w:t>
            </w:r>
          </w:p>
        </w:tc>
      </w:tr>
      <w:tr w:rsidR="004D0F65" w:rsidRPr="00F734D4" w14:paraId="305019D5" w14:textId="77777777" w:rsidTr="00FF4B0A">
        <w:trPr>
          <w:trHeight w:val="228"/>
        </w:trPr>
        <w:tc>
          <w:tcPr>
            <w:tcW w:w="4226" w:type="pct"/>
            <w:noWrap/>
          </w:tcPr>
          <w:p w14:paraId="60485CBA" w14:textId="77147E82" w:rsidR="004D0F65" w:rsidRPr="00F734D4" w:rsidRDefault="004D0F65" w:rsidP="00042053">
            <w:pPr>
              <w:pStyle w:val="TableTextLeft-Indent"/>
              <w:spacing w:after="0"/>
            </w:pPr>
            <w:r w:rsidRPr="00C17F95">
              <w:t>Medical Rural Bonded Scholarship Waivers</w:t>
            </w:r>
          </w:p>
        </w:tc>
        <w:tc>
          <w:tcPr>
            <w:tcW w:w="774" w:type="pct"/>
            <w:noWrap/>
          </w:tcPr>
          <w:p w14:paraId="531A3AD7" w14:textId="77777777" w:rsidR="004D0F65" w:rsidRPr="00F734D4" w:rsidRDefault="004D0F65" w:rsidP="00042053">
            <w:pPr>
              <w:pStyle w:val="TableTextLeft"/>
            </w:pPr>
            <w:r>
              <w:t>New</w:t>
            </w:r>
          </w:p>
        </w:tc>
      </w:tr>
      <w:tr w:rsidR="004D0F65" w:rsidRPr="00F734D4" w14:paraId="1F0AB3F5" w14:textId="77777777" w:rsidTr="00FF4B0A">
        <w:trPr>
          <w:trHeight w:val="228"/>
        </w:trPr>
        <w:tc>
          <w:tcPr>
            <w:tcW w:w="4226" w:type="pct"/>
            <w:noWrap/>
          </w:tcPr>
          <w:p w14:paraId="0BFBBE0C" w14:textId="7F0B77E7" w:rsidR="004D0F65" w:rsidRPr="00F734D4" w:rsidRDefault="004D0F65" w:rsidP="00042053">
            <w:pPr>
              <w:pStyle w:val="TableTextLeft-Indent"/>
              <w:spacing w:after="0"/>
            </w:pPr>
            <w:r w:rsidRPr="00F734D4">
              <w:t xml:space="preserve">mRNA manufacturing </w:t>
            </w:r>
            <w:r>
              <w:t>f</w:t>
            </w:r>
            <w:r w:rsidRPr="00F734D4">
              <w:t>acility – indemnities</w:t>
            </w:r>
          </w:p>
        </w:tc>
        <w:tc>
          <w:tcPr>
            <w:tcW w:w="774" w:type="pct"/>
            <w:noWrap/>
          </w:tcPr>
          <w:p w14:paraId="53B698A4" w14:textId="77777777" w:rsidR="004D0F65" w:rsidRPr="00F734D4" w:rsidRDefault="004D0F65" w:rsidP="00042053">
            <w:pPr>
              <w:pStyle w:val="TableTextLeft"/>
            </w:pPr>
            <w:r w:rsidRPr="00F734D4">
              <w:t>Unchanged</w:t>
            </w:r>
          </w:p>
        </w:tc>
      </w:tr>
      <w:tr w:rsidR="004D0F65" w:rsidRPr="009F4F60" w14:paraId="1DA3D61B" w14:textId="77777777" w:rsidTr="00FF4B0A">
        <w:trPr>
          <w:trHeight w:val="228"/>
        </w:trPr>
        <w:tc>
          <w:tcPr>
            <w:tcW w:w="4226" w:type="pct"/>
            <w:shd w:val="clear" w:color="auto" w:fill="E6F2FF"/>
            <w:noWrap/>
          </w:tcPr>
          <w:p w14:paraId="78A67273" w14:textId="77777777" w:rsidR="004D0F65" w:rsidRPr="000D6DA1" w:rsidRDefault="004D0F65" w:rsidP="00042053">
            <w:pPr>
              <w:pStyle w:val="TableColumnHeadingLeft"/>
              <w:rPr>
                <w:rFonts w:eastAsia="Arial"/>
              </w:rPr>
            </w:pPr>
            <w:r w:rsidRPr="00F734D4">
              <w:rPr>
                <w:rFonts w:eastAsia="Arial"/>
              </w:rPr>
              <w:t xml:space="preserve">Contingent </w:t>
            </w:r>
            <w:r>
              <w:rPr>
                <w:rFonts w:eastAsia="Arial"/>
              </w:rPr>
              <w:t>asset</w:t>
            </w:r>
            <w:r w:rsidRPr="00F734D4">
              <w:rPr>
                <w:rFonts w:eastAsia="Arial"/>
              </w:rPr>
              <w:t xml:space="preserve"> – unquantifiable</w:t>
            </w:r>
          </w:p>
        </w:tc>
        <w:tc>
          <w:tcPr>
            <w:tcW w:w="774" w:type="pct"/>
            <w:shd w:val="clear" w:color="auto" w:fill="E6F2FF"/>
            <w:noWrap/>
          </w:tcPr>
          <w:p w14:paraId="2481ABAD" w14:textId="77777777" w:rsidR="004D0F65" w:rsidRPr="000D6DA1" w:rsidRDefault="004D0F65" w:rsidP="00042053">
            <w:pPr>
              <w:pStyle w:val="TableTextLeft"/>
              <w:rPr>
                <w:rFonts w:eastAsia="Arial"/>
              </w:rPr>
            </w:pPr>
          </w:p>
        </w:tc>
      </w:tr>
      <w:tr w:rsidR="004D0F65" w:rsidRPr="00F734D4" w14:paraId="57E10DDC" w14:textId="77777777" w:rsidTr="00FF4B0A">
        <w:trPr>
          <w:trHeight w:val="228"/>
        </w:trPr>
        <w:tc>
          <w:tcPr>
            <w:tcW w:w="4226" w:type="pct"/>
            <w:noWrap/>
          </w:tcPr>
          <w:p w14:paraId="31597D83" w14:textId="77777777" w:rsidR="004D0F65" w:rsidRPr="00F734D4" w:rsidRDefault="004D0F65" w:rsidP="00042053">
            <w:pPr>
              <w:pStyle w:val="TableTextLeft-Indent"/>
              <w:spacing w:after="0"/>
            </w:pPr>
            <w:r w:rsidRPr="00F734D4">
              <w:t>Legal action seeking compensation</w:t>
            </w:r>
          </w:p>
        </w:tc>
        <w:tc>
          <w:tcPr>
            <w:tcW w:w="774" w:type="pct"/>
            <w:noWrap/>
          </w:tcPr>
          <w:p w14:paraId="5130CACD" w14:textId="77777777" w:rsidR="004D0F65" w:rsidRPr="00F734D4" w:rsidRDefault="004D0F65" w:rsidP="00042053">
            <w:pPr>
              <w:pStyle w:val="TableTextLeft"/>
            </w:pPr>
            <w:r w:rsidRPr="00F734D4">
              <w:t>Unchanged</w:t>
            </w:r>
          </w:p>
        </w:tc>
      </w:tr>
    </w:tbl>
    <w:p w14:paraId="6FDDA6A2" w14:textId="77777777" w:rsidR="004D0F65" w:rsidRPr="006460F9" w:rsidRDefault="004D0F65" w:rsidP="00751AB5">
      <w:pPr>
        <w:rPr>
          <w:rFonts w:eastAsia="Arial"/>
        </w:rPr>
      </w:pPr>
      <w:r w:rsidRPr="006460F9">
        <w:rPr>
          <w:rFonts w:eastAsia="Arial"/>
        </w:rPr>
        <w:br w:type="page"/>
      </w:r>
    </w:p>
    <w:p w14:paraId="254E7C68" w14:textId="77777777" w:rsidR="004D0F65" w:rsidRDefault="004D0F65" w:rsidP="004D0F65">
      <w:pPr>
        <w:pStyle w:val="TableHeadingcontinued"/>
      </w:pPr>
      <w:r w:rsidRPr="00F734D4">
        <w:rPr>
          <w:rFonts w:eastAsia="Arial"/>
        </w:rPr>
        <w:lastRenderedPageBreak/>
        <w:t>Tab</w:t>
      </w:r>
      <w:r w:rsidRPr="00D13C64">
        <w:rPr>
          <w:rFonts w:eastAsia="Arial"/>
        </w:rPr>
        <w:t xml:space="preserve">le </w:t>
      </w:r>
      <w:r>
        <w:rPr>
          <w:rFonts w:eastAsia="Arial"/>
        </w:rPr>
        <w:t>9</w:t>
      </w:r>
      <w:r w:rsidRPr="00D13C64">
        <w:rPr>
          <w:rFonts w:eastAsia="Arial"/>
        </w:rPr>
        <w:t>.2: Summary</w:t>
      </w:r>
      <w:r w:rsidRPr="00C07FB5">
        <w:rPr>
          <w:rFonts w:eastAsia="Arial"/>
        </w:rPr>
        <w:t xml:space="preserve"> of </w:t>
      </w:r>
      <w:r>
        <w:rPr>
          <w:rFonts w:eastAsia="Arial"/>
        </w:rPr>
        <w:t xml:space="preserve">fiscal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68"/>
        <w:gridCol w:w="1143"/>
      </w:tblGrid>
      <w:tr w:rsidR="004D0F65" w:rsidRPr="00F734D4" w14:paraId="172CD5F3" w14:textId="77777777" w:rsidTr="00042053">
        <w:trPr>
          <w:trHeight w:val="228"/>
        </w:trPr>
        <w:tc>
          <w:tcPr>
            <w:tcW w:w="4259" w:type="pct"/>
            <w:shd w:val="clear" w:color="auto" w:fill="E6F2FF"/>
            <w:noWrap/>
          </w:tcPr>
          <w:p w14:paraId="4F075675" w14:textId="77777777" w:rsidR="004D0F65" w:rsidRPr="00F734D4" w:rsidRDefault="004D0F65" w:rsidP="00042053">
            <w:pPr>
              <w:pStyle w:val="TableColumnHeadingLeft"/>
            </w:pPr>
            <w:r w:rsidRPr="00F734D4">
              <w:t>Home Affairs</w:t>
            </w:r>
          </w:p>
        </w:tc>
        <w:tc>
          <w:tcPr>
            <w:tcW w:w="741" w:type="pct"/>
            <w:shd w:val="clear" w:color="auto" w:fill="E6F2FF"/>
            <w:noWrap/>
          </w:tcPr>
          <w:p w14:paraId="678C9494" w14:textId="77777777" w:rsidR="004D0F65" w:rsidRPr="00F734D4" w:rsidRDefault="004D0F65" w:rsidP="00042053">
            <w:pPr>
              <w:pStyle w:val="TableColumnHeadingLeft"/>
            </w:pPr>
            <w:r w:rsidRPr="00F734D4">
              <w:t>Status</w:t>
            </w:r>
          </w:p>
        </w:tc>
      </w:tr>
      <w:tr w:rsidR="004D0F65" w:rsidRPr="00F734D4" w14:paraId="2502899C" w14:textId="77777777" w:rsidTr="00042053">
        <w:trPr>
          <w:trHeight w:val="228"/>
        </w:trPr>
        <w:tc>
          <w:tcPr>
            <w:tcW w:w="4259" w:type="pct"/>
            <w:shd w:val="clear" w:color="auto" w:fill="E6F2FF"/>
            <w:noWrap/>
          </w:tcPr>
          <w:p w14:paraId="2E187923" w14:textId="77777777" w:rsidR="004D0F65" w:rsidRPr="00F734D4" w:rsidRDefault="004D0F65" w:rsidP="00042053">
            <w:pPr>
              <w:pStyle w:val="TableColumnHeadingLeft"/>
            </w:pPr>
            <w:r w:rsidRPr="00F734D4">
              <w:rPr>
                <w:rFonts w:eastAsia="Arial"/>
              </w:rPr>
              <w:t>Fiscal Risk</w:t>
            </w:r>
          </w:p>
        </w:tc>
        <w:tc>
          <w:tcPr>
            <w:tcW w:w="741" w:type="pct"/>
            <w:shd w:val="clear" w:color="auto" w:fill="E6F2FF"/>
            <w:noWrap/>
          </w:tcPr>
          <w:p w14:paraId="7BEBED7B" w14:textId="77777777" w:rsidR="004D0F65" w:rsidRPr="00F734D4" w:rsidRDefault="004D0F65" w:rsidP="00042053">
            <w:pPr>
              <w:pStyle w:val="TableTextLeft"/>
            </w:pPr>
          </w:p>
        </w:tc>
      </w:tr>
      <w:tr w:rsidR="004D0F65" w:rsidRPr="00F734D4" w14:paraId="55E443A1" w14:textId="77777777" w:rsidTr="00042053">
        <w:trPr>
          <w:trHeight w:val="228"/>
        </w:trPr>
        <w:tc>
          <w:tcPr>
            <w:tcW w:w="4259" w:type="pct"/>
            <w:shd w:val="clear" w:color="auto" w:fill="auto"/>
            <w:noWrap/>
          </w:tcPr>
          <w:p w14:paraId="6D65FE4F" w14:textId="77777777" w:rsidR="004D0F65" w:rsidRPr="00F734D4" w:rsidRDefault="004D0F65" w:rsidP="00042053">
            <w:pPr>
              <w:pStyle w:val="TableTextLeft-Indent"/>
              <w:spacing w:after="0"/>
            </w:pPr>
            <w:r w:rsidRPr="00F734D4">
              <w:t>Regional processing arrangements</w:t>
            </w:r>
          </w:p>
        </w:tc>
        <w:tc>
          <w:tcPr>
            <w:tcW w:w="741" w:type="pct"/>
            <w:shd w:val="clear" w:color="auto" w:fill="auto"/>
            <w:noWrap/>
          </w:tcPr>
          <w:p w14:paraId="7CDA1854" w14:textId="77777777" w:rsidR="004D0F65" w:rsidRPr="00F734D4" w:rsidRDefault="004D0F65" w:rsidP="00042053">
            <w:pPr>
              <w:pStyle w:val="TableTextLeft"/>
            </w:pPr>
            <w:r>
              <w:t>Unchanged</w:t>
            </w:r>
          </w:p>
        </w:tc>
      </w:tr>
      <w:tr w:rsidR="004D0F65" w:rsidRPr="00F734D4" w14:paraId="68F29113" w14:textId="77777777" w:rsidTr="00042053">
        <w:trPr>
          <w:trHeight w:val="228"/>
        </w:trPr>
        <w:tc>
          <w:tcPr>
            <w:tcW w:w="4259" w:type="pct"/>
            <w:shd w:val="clear" w:color="auto" w:fill="E6F2FF"/>
            <w:noWrap/>
          </w:tcPr>
          <w:p w14:paraId="31034DBB" w14:textId="77777777" w:rsidR="004D0F65" w:rsidRPr="00F734D4" w:rsidRDefault="004D0F65" w:rsidP="00042053">
            <w:pPr>
              <w:pStyle w:val="TableColumnHeadingLeft"/>
              <w:rPr>
                <w:rFonts w:eastAsia="Calibri"/>
              </w:rPr>
            </w:pPr>
            <w:r w:rsidRPr="00F734D4">
              <w:rPr>
                <w:rFonts w:eastAsia="Arial"/>
              </w:rPr>
              <w:t>Contingent liabilities – unquantifiable</w:t>
            </w:r>
          </w:p>
        </w:tc>
        <w:tc>
          <w:tcPr>
            <w:tcW w:w="741" w:type="pct"/>
            <w:shd w:val="clear" w:color="auto" w:fill="E6F2FF"/>
            <w:noWrap/>
          </w:tcPr>
          <w:p w14:paraId="66C9DB65" w14:textId="77777777" w:rsidR="004D0F65" w:rsidRPr="00F734D4" w:rsidRDefault="004D0F65" w:rsidP="00042053">
            <w:pPr>
              <w:pStyle w:val="TableTextLeft"/>
            </w:pPr>
          </w:p>
        </w:tc>
      </w:tr>
      <w:tr w:rsidR="004D0F65" w:rsidRPr="00F734D4" w14:paraId="35136443" w14:textId="77777777" w:rsidTr="00042053">
        <w:trPr>
          <w:trHeight w:val="228"/>
        </w:trPr>
        <w:tc>
          <w:tcPr>
            <w:tcW w:w="4259" w:type="pct"/>
            <w:shd w:val="clear" w:color="auto" w:fill="auto"/>
            <w:noWrap/>
          </w:tcPr>
          <w:p w14:paraId="3CB46882" w14:textId="77777777" w:rsidR="004D0F65" w:rsidRPr="00F734D4" w:rsidRDefault="004D0F65" w:rsidP="00042053">
            <w:pPr>
              <w:pStyle w:val="TableTextLeft-Indent"/>
              <w:spacing w:after="0"/>
            </w:pPr>
            <w:r w:rsidRPr="00F734D4">
              <w:t>Australian victims of terrorism overseas payment</w:t>
            </w:r>
          </w:p>
        </w:tc>
        <w:tc>
          <w:tcPr>
            <w:tcW w:w="741" w:type="pct"/>
            <w:shd w:val="clear" w:color="auto" w:fill="auto"/>
            <w:noWrap/>
          </w:tcPr>
          <w:p w14:paraId="701A1E90" w14:textId="77777777" w:rsidR="004D0F65" w:rsidRPr="00F734D4" w:rsidRDefault="004D0F65" w:rsidP="00042053">
            <w:pPr>
              <w:pStyle w:val="TableTextLeft"/>
            </w:pPr>
            <w:r w:rsidRPr="00F734D4">
              <w:t>Unchanged</w:t>
            </w:r>
          </w:p>
        </w:tc>
      </w:tr>
      <w:tr w:rsidR="004D0F65" w:rsidRPr="00F734D4" w14:paraId="4B1587BD" w14:textId="77777777" w:rsidTr="00042053">
        <w:trPr>
          <w:trHeight w:val="228"/>
        </w:trPr>
        <w:tc>
          <w:tcPr>
            <w:tcW w:w="4259" w:type="pct"/>
            <w:shd w:val="clear" w:color="auto" w:fill="auto"/>
            <w:noWrap/>
          </w:tcPr>
          <w:p w14:paraId="43FA322F" w14:textId="77777777" w:rsidR="004D0F65" w:rsidRPr="00F734D4" w:rsidRDefault="004D0F65" w:rsidP="00042053">
            <w:pPr>
              <w:pStyle w:val="TableTextLeft-Indent"/>
              <w:spacing w:after="0"/>
            </w:pPr>
            <w:r w:rsidRPr="00F734D4">
              <w:t xml:space="preserve">Disaster </w:t>
            </w:r>
            <w:r>
              <w:t>R</w:t>
            </w:r>
            <w:r w:rsidRPr="00F734D4">
              <w:t>ecovery</w:t>
            </w:r>
          </w:p>
        </w:tc>
        <w:tc>
          <w:tcPr>
            <w:tcW w:w="741" w:type="pct"/>
            <w:shd w:val="clear" w:color="auto" w:fill="auto"/>
            <w:noWrap/>
          </w:tcPr>
          <w:p w14:paraId="706418BA" w14:textId="77777777" w:rsidR="004D0F65" w:rsidRPr="00F734D4" w:rsidRDefault="004D0F65" w:rsidP="00042053">
            <w:pPr>
              <w:pStyle w:val="TableTextLeft"/>
            </w:pPr>
            <w:r>
              <w:t>Unchanged</w:t>
            </w:r>
          </w:p>
        </w:tc>
      </w:tr>
      <w:tr w:rsidR="004D0F65" w:rsidRPr="00F734D4" w14:paraId="38D940F7" w14:textId="77777777" w:rsidTr="00042053">
        <w:trPr>
          <w:trHeight w:val="228"/>
        </w:trPr>
        <w:tc>
          <w:tcPr>
            <w:tcW w:w="4259" w:type="pct"/>
            <w:shd w:val="clear" w:color="auto" w:fill="auto"/>
            <w:noWrap/>
          </w:tcPr>
          <w:p w14:paraId="1405345B" w14:textId="0816EE6D" w:rsidR="004D0F65" w:rsidRPr="00F734D4" w:rsidRDefault="004D0F65" w:rsidP="00042053">
            <w:pPr>
              <w:pStyle w:val="TableTextLeft-Indent"/>
              <w:spacing w:after="0"/>
            </w:pPr>
            <w:r>
              <w:t>Facilities, g</w:t>
            </w:r>
            <w:r w:rsidRPr="00F734D4">
              <w:t xml:space="preserve">arrison, </w:t>
            </w:r>
            <w:r>
              <w:t xml:space="preserve">transferee arrivals and reception, </w:t>
            </w:r>
            <w:r w:rsidRPr="00F734D4">
              <w:t>and health services</w:t>
            </w:r>
            <w:r>
              <w:t xml:space="preserve"> in the Republic of Nauru</w:t>
            </w:r>
            <w:r w:rsidRPr="00F734D4">
              <w:t xml:space="preserve"> – liability limit</w:t>
            </w:r>
          </w:p>
        </w:tc>
        <w:tc>
          <w:tcPr>
            <w:tcW w:w="741" w:type="pct"/>
            <w:shd w:val="clear" w:color="auto" w:fill="auto"/>
            <w:noWrap/>
          </w:tcPr>
          <w:p w14:paraId="26B6409B" w14:textId="77777777" w:rsidR="004D0F65" w:rsidRPr="00F734D4" w:rsidRDefault="004D0F65" w:rsidP="00042053">
            <w:pPr>
              <w:pStyle w:val="TableTextLeft"/>
            </w:pPr>
            <w:r>
              <w:rPr>
                <w:rFonts w:eastAsia="Arial" w:cs="Arial"/>
              </w:rPr>
              <w:t>Unchanged</w:t>
            </w:r>
          </w:p>
        </w:tc>
      </w:tr>
      <w:tr w:rsidR="004D0F65" w:rsidRPr="00F734D4" w14:paraId="132B5C70" w14:textId="77777777" w:rsidTr="00042053">
        <w:trPr>
          <w:trHeight w:val="228"/>
        </w:trPr>
        <w:tc>
          <w:tcPr>
            <w:tcW w:w="4259" w:type="pct"/>
            <w:shd w:val="clear" w:color="auto" w:fill="auto"/>
            <w:noWrap/>
          </w:tcPr>
          <w:p w14:paraId="019E2897" w14:textId="77777777" w:rsidR="004D0F65" w:rsidRPr="00F734D4" w:rsidRDefault="004D0F65" w:rsidP="00042053">
            <w:pPr>
              <w:pStyle w:val="TableTextLeft-Indent"/>
              <w:spacing w:after="0"/>
              <w:rPr>
                <w:rFonts w:cs="Arial"/>
              </w:rPr>
            </w:pPr>
            <w:r w:rsidRPr="00F734D4">
              <w:rPr>
                <w:rFonts w:cs="Arial"/>
              </w:rPr>
              <w:t>Immigration detention services by state and territory governments – liability limit</w:t>
            </w:r>
          </w:p>
        </w:tc>
        <w:tc>
          <w:tcPr>
            <w:tcW w:w="741" w:type="pct"/>
            <w:shd w:val="clear" w:color="auto" w:fill="auto"/>
            <w:noWrap/>
          </w:tcPr>
          <w:p w14:paraId="2B87C8B4" w14:textId="77777777" w:rsidR="004D0F65" w:rsidRPr="00F734D4" w:rsidRDefault="004D0F65" w:rsidP="00042053">
            <w:pPr>
              <w:pStyle w:val="TableTextLeft"/>
            </w:pPr>
            <w:r>
              <w:rPr>
                <w:rFonts w:eastAsia="Arial" w:cs="Arial"/>
              </w:rPr>
              <w:t>Modified</w:t>
            </w:r>
          </w:p>
        </w:tc>
      </w:tr>
      <w:tr w:rsidR="004D0F65" w:rsidRPr="00F734D4" w14:paraId="57A176A2" w14:textId="77777777" w:rsidTr="00042053">
        <w:trPr>
          <w:trHeight w:val="228"/>
        </w:trPr>
        <w:tc>
          <w:tcPr>
            <w:tcW w:w="4259" w:type="pct"/>
            <w:shd w:val="clear" w:color="auto" w:fill="auto"/>
            <w:noWrap/>
          </w:tcPr>
          <w:p w14:paraId="0185F8C4" w14:textId="77777777" w:rsidR="004D0F65" w:rsidRPr="00F734D4" w:rsidRDefault="004D0F65" w:rsidP="00042053">
            <w:pPr>
              <w:pStyle w:val="TableTextLeft-Indent"/>
              <w:spacing w:after="0"/>
              <w:rPr>
                <w:rFonts w:cs="Arial"/>
              </w:rPr>
            </w:pPr>
            <w:r w:rsidRPr="00F734D4">
              <w:rPr>
                <w:rFonts w:cs="Arial"/>
              </w:rPr>
              <w:t>Immigration detention services contract – liability limit</w:t>
            </w:r>
          </w:p>
        </w:tc>
        <w:tc>
          <w:tcPr>
            <w:tcW w:w="741" w:type="pct"/>
            <w:shd w:val="clear" w:color="auto" w:fill="auto"/>
            <w:noWrap/>
          </w:tcPr>
          <w:p w14:paraId="0BA5184A" w14:textId="77777777" w:rsidR="004D0F65" w:rsidRPr="00F734D4" w:rsidRDefault="004D0F65" w:rsidP="00042053">
            <w:pPr>
              <w:pStyle w:val="TableTextLeft"/>
            </w:pPr>
            <w:r>
              <w:rPr>
                <w:rFonts w:eastAsia="Arial" w:cs="Arial"/>
              </w:rPr>
              <w:t>Unchanged</w:t>
            </w:r>
          </w:p>
        </w:tc>
      </w:tr>
      <w:tr w:rsidR="004D0F65" w:rsidRPr="00F734D4" w14:paraId="57121DE1" w14:textId="77777777" w:rsidTr="00042053">
        <w:trPr>
          <w:trHeight w:val="228"/>
        </w:trPr>
        <w:tc>
          <w:tcPr>
            <w:tcW w:w="4259" w:type="pct"/>
            <w:shd w:val="clear" w:color="auto" w:fill="E6F2FF"/>
            <w:noWrap/>
          </w:tcPr>
          <w:p w14:paraId="685104D5" w14:textId="77777777" w:rsidR="004D0F65" w:rsidRPr="00F734D4" w:rsidRDefault="004D0F65" w:rsidP="00042053">
            <w:pPr>
              <w:pStyle w:val="TableColumnHeadingLeft"/>
              <w:rPr>
                <w:rFonts w:cs="Arial"/>
              </w:rPr>
            </w:pPr>
            <w:r w:rsidRPr="00F734D4">
              <w:t>Industry, Science and Resources</w:t>
            </w:r>
          </w:p>
        </w:tc>
        <w:tc>
          <w:tcPr>
            <w:tcW w:w="741" w:type="pct"/>
            <w:shd w:val="clear" w:color="auto" w:fill="E6F2FF"/>
            <w:noWrap/>
          </w:tcPr>
          <w:p w14:paraId="0733535F" w14:textId="77777777" w:rsidR="004D0F65" w:rsidRPr="00F734D4" w:rsidRDefault="004D0F65" w:rsidP="00042053">
            <w:pPr>
              <w:pStyle w:val="TableColumnHeadingLeft"/>
            </w:pPr>
            <w:r w:rsidRPr="00F734D4">
              <w:t>Status</w:t>
            </w:r>
          </w:p>
        </w:tc>
      </w:tr>
      <w:tr w:rsidR="004D0F65" w:rsidRPr="00F734D4" w14:paraId="29712946" w14:textId="77777777" w:rsidTr="00042053">
        <w:trPr>
          <w:trHeight w:val="228"/>
        </w:trPr>
        <w:tc>
          <w:tcPr>
            <w:tcW w:w="4259" w:type="pct"/>
            <w:shd w:val="clear" w:color="auto" w:fill="E6F2FF"/>
            <w:noWrap/>
          </w:tcPr>
          <w:p w14:paraId="6D112DAE" w14:textId="77777777" w:rsidR="004D0F65" w:rsidRPr="00F734D4" w:rsidRDefault="004D0F65" w:rsidP="00042053">
            <w:pPr>
              <w:pStyle w:val="TableColumnHeadingLeft"/>
            </w:pPr>
            <w:r w:rsidRPr="00F734D4">
              <w:rPr>
                <w:rFonts w:eastAsia="Arial"/>
              </w:rPr>
              <w:t>Fiscal Risk</w:t>
            </w:r>
          </w:p>
        </w:tc>
        <w:tc>
          <w:tcPr>
            <w:tcW w:w="741" w:type="pct"/>
            <w:shd w:val="clear" w:color="auto" w:fill="E6F2FF"/>
            <w:noWrap/>
          </w:tcPr>
          <w:p w14:paraId="47127076" w14:textId="77777777" w:rsidR="004D0F65" w:rsidRPr="00F734D4" w:rsidRDefault="004D0F65" w:rsidP="00042053">
            <w:pPr>
              <w:pStyle w:val="TableTextLeft"/>
            </w:pPr>
          </w:p>
        </w:tc>
      </w:tr>
      <w:tr w:rsidR="004D0F65" w:rsidRPr="00F734D4" w14:paraId="2B773571" w14:textId="77777777" w:rsidTr="00042053">
        <w:trPr>
          <w:trHeight w:val="228"/>
        </w:trPr>
        <w:tc>
          <w:tcPr>
            <w:tcW w:w="4259" w:type="pct"/>
            <w:noWrap/>
          </w:tcPr>
          <w:p w14:paraId="75492410" w14:textId="77777777" w:rsidR="004D0F65" w:rsidRPr="00F734D4" w:rsidRDefault="004D0F65" w:rsidP="00042053">
            <w:pPr>
              <w:pStyle w:val="TableTextLeft-Indent"/>
              <w:spacing w:after="0"/>
              <w:rPr>
                <w:rFonts w:cs="Arial"/>
              </w:rPr>
            </w:pPr>
            <w:r w:rsidRPr="00F734D4">
              <w:rPr>
                <w:rFonts w:cs="Arial"/>
              </w:rPr>
              <w:t>Rehabilitation of the Ranger Uranium Mine</w:t>
            </w:r>
          </w:p>
        </w:tc>
        <w:tc>
          <w:tcPr>
            <w:tcW w:w="741" w:type="pct"/>
            <w:noWrap/>
          </w:tcPr>
          <w:p w14:paraId="11F97E83" w14:textId="77777777" w:rsidR="004D0F65" w:rsidRPr="00F734D4" w:rsidRDefault="004D0F65" w:rsidP="00042053">
            <w:pPr>
              <w:pStyle w:val="TableTextLeft"/>
            </w:pPr>
            <w:r w:rsidRPr="00F734D4">
              <w:rPr>
                <w:rFonts w:eastAsia="Arial" w:cs="Arial"/>
              </w:rPr>
              <w:t>Unchanged</w:t>
            </w:r>
          </w:p>
        </w:tc>
      </w:tr>
      <w:tr w:rsidR="004D0F65" w:rsidRPr="00F734D4" w14:paraId="6097524E" w14:textId="77777777" w:rsidTr="00042053">
        <w:trPr>
          <w:trHeight w:val="228"/>
        </w:trPr>
        <w:tc>
          <w:tcPr>
            <w:tcW w:w="4259" w:type="pct"/>
            <w:shd w:val="clear" w:color="auto" w:fill="E6F2FF"/>
            <w:noWrap/>
          </w:tcPr>
          <w:p w14:paraId="1749FF54" w14:textId="77777777" w:rsidR="004D0F65" w:rsidRPr="00F734D4" w:rsidRDefault="004D0F65" w:rsidP="00042053">
            <w:pPr>
              <w:pStyle w:val="TableColumnHeadingLeft"/>
            </w:pPr>
            <w:r w:rsidRPr="00F734D4">
              <w:rPr>
                <w:rFonts w:eastAsia="Arial"/>
              </w:rPr>
              <w:t>Significant but remote contingencies</w:t>
            </w:r>
          </w:p>
        </w:tc>
        <w:tc>
          <w:tcPr>
            <w:tcW w:w="741" w:type="pct"/>
            <w:shd w:val="clear" w:color="auto" w:fill="E6F2FF"/>
            <w:noWrap/>
          </w:tcPr>
          <w:p w14:paraId="0CD4F3BD" w14:textId="77777777" w:rsidR="004D0F65" w:rsidRPr="00F734D4" w:rsidRDefault="004D0F65" w:rsidP="00042053">
            <w:pPr>
              <w:pStyle w:val="TableTextLeft"/>
            </w:pPr>
          </w:p>
        </w:tc>
      </w:tr>
      <w:tr w:rsidR="004D0F65" w:rsidRPr="00F734D4" w14:paraId="08CFB347" w14:textId="77777777" w:rsidTr="00042053">
        <w:trPr>
          <w:trHeight w:val="228"/>
        </w:trPr>
        <w:tc>
          <w:tcPr>
            <w:tcW w:w="4259" w:type="pct"/>
            <w:noWrap/>
          </w:tcPr>
          <w:p w14:paraId="283D6077" w14:textId="45363ED1" w:rsidR="004D0F65" w:rsidRPr="00F734D4" w:rsidRDefault="004D0F65" w:rsidP="00042053">
            <w:pPr>
              <w:pStyle w:val="TableTextLeft-Indent"/>
              <w:spacing w:after="0"/>
            </w:pPr>
            <w:r w:rsidRPr="00F734D4">
              <w:t>Liability for damages caused by space and certain high</w:t>
            </w:r>
            <w:r w:rsidR="00D737F9">
              <w:noBreakHyphen/>
            </w:r>
            <w:r w:rsidRPr="00F734D4">
              <w:t>power rocket activities</w:t>
            </w:r>
          </w:p>
        </w:tc>
        <w:tc>
          <w:tcPr>
            <w:tcW w:w="741" w:type="pct"/>
            <w:noWrap/>
          </w:tcPr>
          <w:p w14:paraId="55AA7ECF" w14:textId="77777777" w:rsidR="004D0F65" w:rsidRPr="00F734D4" w:rsidRDefault="004D0F65" w:rsidP="00042053">
            <w:pPr>
              <w:pStyle w:val="TableTextLeft"/>
            </w:pPr>
            <w:r w:rsidRPr="00F734D4">
              <w:rPr>
                <w:rFonts w:eastAsia="Arial" w:cs="Arial"/>
              </w:rPr>
              <w:t>Unchanged</w:t>
            </w:r>
          </w:p>
        </w:tc>
      </w:tr>
      <w:tr w:rsidR="004D0F65" w:rsidRPr="00F734D4" w14:paraId="2D0CCB53" w14:textId="77777777" w:rsidTr="00042053">
        <w:trPr>
          <w:trHeight w:val="228"/>
        </w:trPr>
        <w:tc>
          <w:tcPr>
            <w:tcW w:w="4259" w:type="pct"/>
            <w:noWrap/>
          </w:tcPr>
          <w:p w14:paraId="231D69BC" w14:textId="77777777" w:rsidR="004D0F65" w:rsidRPr="00F734D4" w:rsidRDefault="004D0F65" w:rsidP="00042053">
            <w:pPr>
              <w:pStyle w:val="TableTextLeft-Indent"/>
              <w:spacing w:after="0"/>
            </w:pPr>
            <w:r w:rsidRPr="00F734D4">
              <w:t>Operations and maintenance of the Northern Endeavour and associated infrastructure</w:t>
            </w:r>
          </w:p>
        </w:tc>
        <w:tc>
          <w:tcPr>
            <w:tcW w:w="741" w:type="pct"/>
            <w:noWrap/>
          </w:tcPr>
          <w:p w14:paraId="3A6E1AF4" w14:textId="77777777" w:rsidR="004D0F65" w:rsidRPr="00F734D4" w:rsidRDefault="004D0F65" w:rsidP="00042053">
            <w:pPr>
              <w:pStyle w:val="TableTextLeft"/>
            </w:pPr>
            <w:r>
              <w:t>Unchanged</w:t>
            </w:r>
          </w:p>
        </w:tc>
      </w:tr>
      <w:tr w:rsidR="004D0F65" w:rsidRPr="00F734D4" w14:paraId="4DCAE392" w14:textId="77777777" w:rsidTr="00042053">
        <w:trPr>
          <w:trHeight w:val="228"/>
        </w:trPr>
        <w:tc>
          <w:tcPr>
            <w:tcW w:w="4259" w:type="pct"/>
            <w:shd w:val="clear" w:color="auto" w:fill="E6F2FF"/>
            <w:noWrap/>
          </w:tcPr>
          <w:p w14:paraId="5EE0E9F8" w14:textId="77777777" w:rsidR="004D0F65" w:rsidRPr="00F734D4" w:rsidRDefault="004D0F65" w:rsidP="00042053">
            <w:pPr>
              <w:pStyle w:val="TableColumnHeadingLeft"/>
            </w:pPr>
            <w:r w:rsidRPr="00F734D4">
              <w:rPr>
                <w:rFonts w:eastAsia="Arial"/>
              </w:rPr>
              <w:t>Contingent liabilities – unquantifiable</w:t>
            </w:r>
          </w:p>
        </w:tc>
        <w:tc>
          <w:tcPr>
            <w:tcW w:w="741" w:type="pct"/>
            <w:shd w:val="clear" w:color="auto" w:fill="E6F2FF"/>
            <w:noWrap/>
          </w:tcPr>
          <w:p w14:paraId="757CBF7C" w14:textId="77777777" w:rsidR="004D0F65" w:rsidRPr="00F734D4" w:rsidRDefault="004D0F65" w:rsidP="00042053">
            <w:pPr>
              <w:pStyle w:val="TableTextLeft"/>
            </w:pPr>
          </w:p>
        </w:tc>
      </w:tr>
      <w:tr w:rsidR="004D0F65" w:rsidRPr="00F734D4" w14:paraId="69D606ED" w14:textId="77777777" w:rsidTr="00042053">
        <w:trPr>
          <w:trHeight w:val="228"/>
        </w:trPr>
        <w:tc>
          <w:tcPr>
            <w:tcW w:w="4259" w:type="pct"/>
            <w:noWrap/>
          </w:tcPr>
          <w:p w14:paraId="7B8924B0" w14:textId="77777777" w:rsidR="004D0F65" w:rsidRPr="00F734D4" w:rsidRDefault="004D0F65" w:rsidP="00042053">
            <w:pPr>
              <w:pStyle w:val="TableTextLeft-Indent"/>
              <w:spacing w:after="0"/>
              <w:rPr>
                <w:rFonts w:cs="Arial"/>
              </w:rPr>
            </w:pPr>
            <w:r w:rsidRPr="00F734D4">
              <w:t>Australian Nuclear Science and Technology Organisation – asbestos contamination</w:t>
            </w:r>
          </w:p>
        </w:tc>
        <w:tc>
          <w:tcPr>
            <w:tcW w:w="741" w:type="pct"/>
            <w:noWrap/>
          </w:tcPr>
          <w:p w14:paraId="57516D2C" w14:textId="77777777" w:rsidR="004D0F65" w:rsidRPr="00F734D4" w:rsidRDefault="004D0F65" w:rsidP="00042053">
            <w:pPr>
              <w:pStyle w:val="TableTextLeft"/>
            </w:pPr>
            <w:r w:rsidRPr="00F734D4">
              <w:t>Unchanged</w:t>
            </w:r>
          </w:p>
        </w:tc>
      </w:tr>
      <w:tr w:rsidR="004D0F65" w:rsidRPr="00F734D4" w14:paraId="4438FF2D" w14:textId="77777777" w:rsidTr="00042053">
        <w:trPr>
          <w:trHeight w:val="228"/>
        </w:trPr>
        <w:tc>
          <w:tcPr>
            <w:tcW w:w="4259" w:type="pct"/>
            <w:noWrap/>
          </w:tcPr>
          <w:p w14:paraId="52D4990C" w14:textId="77777777" w:rsidR="004D0F65" w:rsidRPr="00F734D4" w:rsidRDefault="004D0F65" w:rsidP="00042053">
            <w:pPr>
              <w:pStyle w:val="TableTextLeft-Indent"/>
              <w:spacing w:after="0"/>
              <w:rPr>
                <w:rFonts w:cs="Arial"/>
              </w:rPr>
            </w:pPr>
            <w:r w:rsidRPr="00F734D4">
              <w:t>Australian Nuclear Science and Technology Organisation – indemnity</w:t>
            </w:r>
          </w:p>
        </w:tc>
        <w:tc>
          <w:tcPr>
            <w:tcW w:w="741" w:type="pct"/>
            <w:noWrap/>
          </w:tcPr>
          <w:p w14:paraId="4100513A" w14:textId="77777777" w:rsidR="004D0F65" w:rsidRPr="00F734D4" w:rsidRDefault="004D0F65" w:rsidP="00042053">
            <w:pPr>
              <w:pStyle w:val="TableTextLeft"/>
            </w:pPr>
            <w:r w:rsidRPr="00F734D4">
              <w:t>Unchanged</w:t>
            </w:r>
          </w:p>
        </w:tc>
      </w:tr>
      <w:tr w:rsidR="004D0F65" w:rsidRPr="00F734D4" w14:paraId="2DED7ED2" w14:textId="77777777" w:rsidTr="00042053">
        <w:trPr>
          <w:trHeight w:val="228"/>
        </w:trPr>
        <w:tc>
          <w:tcPr>
            <w:tcW w:w="4259" w:type="pct"/>
            <w:noWrap/>
          </w:tcPr>
          <w:p w14:paraId="59A24AC5" w14:textId="77777777" w:rsidR="004D0F65" w:rsidRPr="00F734D4" w:rsidRDefault="004D0F65" w:rsidP="00042053">
            <w:pPr>
              <w:pStyle w:val="TableTextLeft-Indent"/>
              <w:spacing w:after="0"/>
              <w:rPr>
                <w:rFonts w:cs="Arial"/>
              </w:rPr>
            </w:pPr>
            <w:r w:rsidRPr="00F734D4">
              <w:t xml:space="preserve">Australian Nuclear Science and Technology Organisation – legacy waste management to final disposal </w:t>
            </w:r>
          </w:p>
        </w:tc>
        <w:tc>
          <w:tcPr>
            <w:tcW w:w="741" w:type="pct"/>
            <w:noWrap/>
          </w:tcPr>
          <w:p w14:paraId="421B5736" w14:textId="77777777" w:rsidR="004D0F65" w:rsidRPr="00F734D4" w:rsidRDefault="004D0F65" w:rsidP="00042053">
            <w:pPr>
              <w:pStyle w:val="TableTextLeft"/>
            </w:pPr>
            <w:r w:rsidRPr="00F734D4">
              <w:t>Unchanged</w:t>
            </w:r>
          </w:p>
        </w:tc>
      </w:tr>
      <w:tr w:rsidR="004D0F65" w:rsidRPr="00F734D4" w14:paraId="39BA5CFC" w14:textId="77777777" w:rsidTr="00042053">
        <w:trPr>
          <w:trHeight w:val="228"/>
        </w:trPr>
        <w:tc>
          <w:tcPr>
            <w:tcW w:w="4259" w:type="pct"/>
            <w:noWrap/>
          </w:tcPr>
          <w:p w14:paraId="0B270DB7" w14:textId="77777777" w:rsidR="004D0F65" w:rsidRPr="00F734D4" w:rsidRDefault="004D0F65" w:rsidP="00042053">
            <w:pPr>
              <w:pStyle w:val="TableTextLeft-Indent"/>
              <w:spacing w:after="0"/>
              <w:rPr>
                <w:rFonts w:cs="Arial"/>
              </w:rPr>
            </w:pPr>
            <w:r w:rsidRPr="00F734D4">
              <w:t>Former British atomic test site at Maralinga</w:t>
            </w:r>
          </w:p>
        </w:tc>
        <w:tc>
          <w:tcPr>
            <w:tcW w:w="741" w:type="pct"/>
            <w:noWrap/>
          </w:tcPr>
          <w:p w14:paraId="7445EDA2" w14:textId="77777777" w:rsidR="004D0F65" w:rsidRPr="00F734D4" w:rsidRDefault="004D0F65" w:rsidP="00042053">
            <w:pPr>
              <w:pStyle w:val="TableTextLeft"/>
            </w:pPr>
            <w:r w:rsidRPr="00F734D4">
              <w:rPr>
                <w:rFonts w:eastAsia="Arial" w:cs="Arial"/>
              </w:rPr>
              <w:t>Unchanged</w:t>
            </w:r>
          </w:p>
        </w:tc>
      </w:tr>
      <w:tr w:rsidR="004D0F65" w:rsidRPr="00F734D4" w14:paraId="3ABA0758" w14:textId="77777777" w:rsidTr="00042053">
        <w:trPr>
          <w:trHeight w:val="228"/>
        </w:trPr>
        <w:tc>
          <w:tcPr>
            <w:tcW w:w="4259" w:type="pct"/>
            <w:noWrap/>
          </w:tcPr>
          <w:p w14:paraId="3D8DF036" w14:textId="77777777" w:rsidR="004D0F65" w:rsidRPr="00F734D4" w:rsidRDefault="004D0F65" w:rsidP="00042053">
            <w:pPr>
              <w:pStyle w:val="TableTextLeft-Indent"/>
              <w:spacing w:after="0"/>
            </w:pPr>
            <w:r w:rsidRPr="00F734D4">
              <w:t>Land decontamination and site restoration for CSIRO property</w:t>
            </w:r>
          </w:p>
        </w:tc>
        <w:tc>
          <w:tcPr>
            <w:tcW w:w="741" w:type="pct"/>
            <w:noWrap/>
          </w:tcPr>
          <w:p w14:paraId="09451818" w14:textId="77777777" w:rsidR="004D0F65" w:rsidRPr="00F734D4" w:rsidRDefault="004D0F65" w:rsidP="00042053">
            <w:pPr>
              <w:pStyle w:val="TableTextLeft"/>
            </w:pPr>
            <w:r w:rsidRPr="00F734D4">
              <w:t>Unchanged</w:t>
            </w:r>
          </w:p>
        </w:tc>
      </w:tr>
      <w:tr w:rsidR="004D0F65" w:rsidRPr="00F734D4" w14:paraId="26D18918" w14:textId="77777777" w:rsidTr="00042053">
        <w:trPr>
          <w:trHeight w:val="228"/>
        </w:trPr>
        <w:tc>
          <w:tcPr>
            <w:tcW w:w="4259" w:type="pct"/>
            <w:shd w:val="clear" w:color="auto" w:fill="E6F2FF"/>
            <w:noWrap/>
          </w:tcPr>
          <w:p w14:paraId="0DB87E68" w14:textId="77777777" w:rsidR="004D0F65" w:rsidRPr="00F734D4" w:rsidRDefault="004D0F65" w:rsidP="00042053">
            <w:pPr>
              <w:pStyle w:val="TableColumnHeadingLeft"/>
              <w:rPr>
                <w:rFonts w:cs="Arial"/>
              </w:rPr>
            </w:pPr>
            <w:r w:rsidRPr="00F734D4">
              <w:t>Infrastructure, Transport, Regional Development, Communications and the Arts</w:t>
            </w:r>
          </w:p>
        </w:tc>
        <w:tc>
          <w:tcPr>
            <w:tcW w:w="741" w:type="pct"/>
            <w:shd w:val="clear" w:color="auto" w:fill="E6F2FF"/>
            <w:noWrap/>
          </w:tcPr>
          <w:p w14:paraId="79D62189" w14:textId="77777777" w:rsidR="004D0F65" w:rsidRPr="00F734D4" w:rsidRDefault="004D0F65" w:rsidP="00042053">
            <w:pPr>
              <w:pStyle w:val="TableColumnHeadingLeft"/>
            </w:pPr>
            <w:r w:rsidRPr="00F734D4">
              <w:t>Status</w:t>
            </w:r>
          </w:p>
        </w:tc>
      </w:tr>
      <w:tr w:rsidR="004D0F65" w:rsidRPr="00F734D4" w14:paraId="1F546B66" w14:textId="77777777" w:rsidTr="00042053">
        <w:trPr>
          <w:trHeight w:val="228"/>
        </w:trPr>
        <w:tc>
          <w:tcPr>
            <w:tcW w:w="4259" w:type="pct"/>
            <w:shd w:val="clear" w:color="auto" w:fill="E6F2FF"/>
            <w:noWrap/>
          </w:tcPr>
          <w:p w14:paraId="4F852F2A" w14:textId="77777777" w:rsidR="004D0F65" w:rsidRPr="00F734D4" w:rsidRDefault="004D0F65" w:rsidP="00042053">
            <w:pPr>
              <w:pStyle w:val="TableColumnHeadingLeft"/>
            </w:pPr>
            <w:r w:rsidRPr="00F734D4">
              <w:rPr>
                <w:rFonts w:eastAsia="Arial"/>
              </w:rPr>
              <w:t>Fiscal Risk</w:t>
            </w:r>
            <w:r>
              <w:rPr>
                <w:rFonts w:eastAsia="Arial"/>
              </w:rPr>
              <w:t>s</w:t>
            </w:r>
          </w:p>
        </w:tc>
        <w:tc>
          <w:tcPr>
            <w:tcW w:w="741" w:type="pct"/>
            <w:shd w:val="clear" w:color="auto" w:fill="E6F2FF"/>
            <w:noWrap/>
          </w:tcPr>
          <w:p w14:paraId="436F491B" w14:textId="77777777" w:rsidR="004D0F65" w:rsidRPr="00F734D4" w:rsidRDefault="004D0F65" w:rsidP="00042053">
            <w:pPr>
              <w:pStyle w:val="TableTextLeft"/>
            </w:pPr>
          </w:p>
        </w:tc>
      </w:tr>
      <w:tr w:rsidR="004D0F65" w:rsidRPr="00F734D4" w14:paraId="35F222DF" w14:textId="77777777" w:rsidTr="00042053">
        <w:trPr>
          <w:trHeight w:val="228"/>
        </w:trPr>
        <w:tc>
          <w:tcPr>
            <w:tcW w:w="4259" w:type="pct"/>
            <w:noWrap/>
          </w:tcPr>
          <w:p w14:paraId="04A8F2B0" w14:textId="2079FB1D" w:rsidR="004D0F65" w:rsidRPr="00F734D4" w:rsidRDefault="004D0F65" w:rsidP="00042053">
            <w:pPr>
              <w:pStyle w:val="TableTextLeft-Indent"/>
              <w:spacing w:after="0"/>
            </w:pPr>
            <w:r>
              <w:t>Australia Post</w:t>
            </w:r>
            <w:r w:rsidR="00D737F9">
              <w:t>’</w:t>
            </w:r>
            <w:r>
              <w:t>s financial stability</w:t>
            </w:r>
          </w:p>
        </w:tc>
        <w:tc>
          <w:tcPr>
            <w:tcW w:w="741" w:type="pct"/>
            <w:noWrap/>
          </w:tcPr>
          <w:p w14:paraId="6072FA1D" w14:textId="77777777" w:rsidR="004D0F65" w:rsidRPr="00F734D4" w:rsidRDefault="004D0F65" w:rsidP="00042053">
            <w:pPr>
              <w:pStyle w:val="TableTextLeft"/>
            </w:pPr>
            <w:r>
              <w:t>Modified</w:t>
            </w:r>
          </w:p>
        </w:tc>
      </w:tr>
      <w:tr w:rsidR="004D0F65" w:rsidRPr="00F734D4" w14:paraId="50C5D400" w14:textId="77777777" w:rsidTr="00042053">
        <w:trPr>
          <w:trHeight w:val="228"/>
        </w:trPr>
        <w:tc>
          <w:tcPr>
            <w:tcW w:w="4259" w:type="pct"/>
            <w:noWrap/>
          </w:tcPr>
          <w:p w14:paraId="253093EA" w14:textId="77777777" w:rsidR="004D0F65" w:rsidRPr="00F734D4" w:rsidRDefault="004D0F65" w:rsidP="00042053">
            <w:pPr>
              <w:pStyle w:val="TableTextLeft-Indent"/>
              <w:spacing w:after="0"/>
              <w:rPr>
                <w:rFonts w:cs="Arial"/>
              </w:rPr>
            </w:pPr>
            <w:r w:rsidRPr="00F734D4">
              <w:t xml:space="preserve">Inland Rail – delivery </w:t>
            </w:r>
          </w:p>
        </w:tc>
        <w:tc>
          <w:tcPr>
            <w:tcW w:w="741" w:type="pct"/>
            <w:noWrap/>
          </w:tcPr>
          <w:p w14:paraId="53A735BF" w14:textId="77777777" w:rsidR="004D0F65" w:rsidRPr="00F734D4" w:rsidRDefault="004D0F65" w:rsidP="00042053">
            <w:pPr>
              <w:pStyle w:val="TableTextLeft"/>
            </w:pPr>
            <w:r>
              <w:t>Unchanged</w:t>
            </w:r>
          </w:p>
        </w:tc>
      </w:tr>
      <w:tr w:rsidR="004D0F65" w:rsidRPr="00F734D4" w14:paraId="07E0F47D" w14:textId="77777777" w:rsidTr="00042053">
        <w:trPr>
          <w:trHeight w:val="228"/>
        </w:trPr>
        <w:tc>
          <w:tcPr>
            <w:tcW w:w="4259" w:type="pct"/>
            <w:shd w:val="clear" w:color="auto" w:fill="E6F2FF"/>
            <w:noWrap/>
          </w:tcPr>
          <w:p w14:paraId="5062E841" w14:textId="77777777" w:rsidR="004D0F65" w:rsidRPr="00F734D4" w:rsidRDefault="004D0F65" w:rsidP="00042053">
            <w:pPr>
              <w:pStyle w:val="TableColumnHeadingLeft"/>
            </w:pPr>
            <w:r w:rsidRPr="00F734D4">
              <w:rPr>
                <w:rFonts w:eastAsia="Arial"/>
              </w:rPr>
              <w:t>Significant but remote contingencies</w:t>
            </w:r>
          </w:p>
        </w:tc>
        <w:tc>
          <w:tcPr>
            <w:tcW w:w="741" w:type="pct"/>
            <w:shd w:val="clear" w:color="auto" w:fill="E6F2FF"/>
            <w:noWrap/>
          </w:tcPr>
          <w:p w14:paraId="7D74E0CC" w14:textId="77777777" w:rsidR="004D0F65" w:rsidRPr="00F734D4" w:rsidRDefault="004D0F65" w:rsidP="00042053">
            <w:pPr>
              <w:pStyle w:val="TableTextLeft"/>
            </w:pPr>
          </w:p>
        </w:tc>
      </w:tr>
      <w:tr w:rsidR="004D0F65" w:rsidRPr="00F734D4" w14:paraId="12758D0C" w14:textId="77777777" w:rsidTr="00042053">
        <w:trPr>
          <w:trHeight w:val="228"/>
        </w:trPr>
        <w:tc>
          <w:tcPr>
            <w:tcW w:w="4259" w:type="pct"/>
            <w:noWrap/>
          </w:tcPr>
          <w:p w14:paraId="5C1014FC" w14:textId="77777777" w:rsidR="004D0F65" w:rsidRPr="00F734D4" w:rsidRDefault="004D0F65" w:rsidP="00042053">
            <w:pPr>
              <w:pStyle w:val="TableTextLeft-Indent"/>
              <w:spacing w:after="0"/>
            </w:pPr>
            <w:r w:rsidRPr="00F734D4">
              <w:t>Inland Rail – Termination of the Equity Financing Agreement</w:t>
            </w:r>
          </w:p>
        </w:tc>
        <w:tc>
          <w:tcPr>
            <w:tcW w:w="741" w:type="pct"/>
            <w:noWrap/>
          </w:tcPr>
          <w:p w14:paraId="7001DC83" w14:textId="77777777" w:rsidR="004D0F65" w:rsidRPr="00F734D4" w:rsidRDefault="004D0F65" w:rsidP="00042053">
            <w:pPr>
              <w:pStyle w:val="TableTextLeft"/>
            </w:pPr>
            <w:r w:rsidRPr="00F734D4">
              <w:t>Unchanged</w:t>
            </w:r>
          </w:p>
        </w:tc>
      </w:tr>
      <w:tr w:rsidR="004D0F65" w:rsidRPr="00F734D4" w14:paraId="38DBE06E" w14:textId="77777777" w:rsidTr="00042053">
        <w:trPr>
          <w:trHeight w:val="228"/>
        </w:trPr>
        <w:tc>
          <w:tcPr>
            <w:tcW w:w="4259" w:type="pct"/>
            <w:noWrap/>
          </w:tcPr>
          <w:p w14:paraId="42B0B7C9" w14:textId="4BA5AD8E" w:rsidR="004D0F65" w:rsidRPr="00F734D4" w:rsidRDefault="004D0F65" w:rsidP="00042053">
            <w:pPr>
              <w:pStyle w:val="TableTextLeft-Indent"/>
              <w:spacing w:after="0"/>
              <w:rPr>
                <w:rFonts w:cs="Arial"/>
              </w:rPr>
            </w:pPr>
            <w:r w:rsidRPr="00F734D4">
              <w:t>Maritime Industry Finance Company Limited – Board Members</w:t>
            </w:r>
            <w:r w:rsidR="00D737F9">
              <w:t>’</w:t>
            </w:r>
            <w:r w:rsidRPr="00F734D4">
              <w:t xml:space="preserve"> indemnity</w:t>
            </w:r>
          </w:p>
        </w:tc>
        <w:tc>
          <w:tcPr>
            <w:tcW w:w="741" w:type="pct"/>
            <w:noWrap/>
          </w:tcPr>
          <w:p w14:paraId="10877D3A" w14:textId="77777777" w:rsidR="004D0F65" w:rsidRPr="00F734D4" w:rsidRDefault="004D0F65" w:rsidP="00042053">
            <w:pPr>
              <w:pStyle w:val="TableTextLeft"/>
            </w:pPr>
            <w:r w:rsidRPr="00F734D4">
              <w:t>Unchanged</w:t>
            </w:r>
          </w:p>
        </w:tc>
      </w:tr>
      <w:tr w:rsidR="004D0F65" w:rsidRPr="00F734D4" w14:paraId="6490926E" w14:textId="77777777" w:rsidTr="00042053">
        <w:trPr>
          <w:trHeight w:val="228"/>
        </w:trPr>
        <w:tc>
          <w:tcPr>
            <w:tcW w:w="4259" w:type="pct"/>
            <w:noWrap/>
          </w:tcPr>
          <w:p w14:paraId="663DA4F0" w14:textId="77777777" w:rsidR="004D0F65" w:rsidRPr="00F734D4" w:rsidRDefault="004D0F65" w:rsidP="00042053">
            <w:pPr>
              <w:pStyle w:val="TableTextLeft-Indent"/>
              <w:spacing w:after="0"/>
            </w:pPr>
            <w:r w:rsidRPr="00F734D4">
              <w:t>Moorebank Intermodal Project – Glenfield Waste Site Easement</w:t>
            </w:r>
          </w:p>
        </w:tc>
        <w:tc>
          <w:tcPr>
            <w:tcW w:w="741" w:type="pct"/>
            <w:noWrap/>
          </w:tcPr>
          <w:p w14:paraId="65ED883E" w14:textId="77777777" w:rsidR="004D0F65" w:rsidRPr="00F734D4" w:rsidRDefault="004D0F65" w:rsidP="00042053">
            <w:pPr>
              <w:pStyle w:val="TableTextLeft"/>
            </w:pPr>
            <w:r w:rsidRPr="00F734D4">
              <w:rPr>
                <w:rFonts w:eastAsia="Arial" w:cs="Arial"/>
              </w:rPr>
              <w:t>Unchanged</w:t>
            </w:r>
          </w:p>
        </w:tc>
      </w:tr>
      <w:tr w:rsidR="004D0F65" w:rsidRPr="00F734D4" w14:paraId="527501D7" w14:textId="77777777" w:rsidTr="00042053">
        <w:trPr>
          <w:trHeight w:val="228"/>
        </w:trPr>
        <w:tc>
          <w:tcPr>
            <w:tcW w:w="4259" w:type="pct"/>
            <w:noWrap/>
          </w:tcPr>
          <w:p w14:paraId="194E72FC" w14:textId="77777777" w:rsidR="004D0F65" w:rsidRPr="00F734D4" w:rsidRDefault="004D0F65" w:rsidP="00042053">
            <w:pPr>
              <w:pStyle w:val="TableTextLeft-Indent"/>
              <w:spacing w:after="0"/>
              <w:rPr>
                <w:rFonts w:cs="Arial"/>
              </w:rPr>
            </w:pPr>
            <w:r w:rsidRPr="00F734D4">
              <w:t>National Intermodal Corporation Limited – Termination of the Funding Agreement</w:t>
            </w:r>
          </w:p>
        </w:tc>
        <w:tc>
          <w:tcPr>
            <w:tcW w:w="741" w:type="pct"/>
            <w:noWrap/>
          </w:tcPr>
          <w:p w14:paraId="719DEC09" w14:textId="77777777" w:rsidR="004D0F65" w:rsidRPr="00F734D4" w:rsidRDefault="004D0F65" w:rsidP="00042053">
            <w:pPr>
              <w:pStyle w:val="TableTextLeft"/>
            </w:pPr>
            <w:r w:rsidRPr="00F734D4">
              <w:rPr>
                <w:rFonts w:eastAsia="Arial" w:cs="Arial"/>
              </w:rPr>
              <w:t>Unchanged</w:t>
            </w:r>
          </w:p>
        </w:tc>
      </w:tr>
      <w:tr w:rsidR="004D0F65" w:rsidRPr="00F734D4" w14:paraId="582483BA" w14:textId="77777777" w:rsidTr="00042053">
        <w:trPr>
          <w:trHeight w:val="228"/>
        </w:trPr>
        <w:tc>
          <w:tcPr>
            <w:tcW w:w="4259" w:type="pct"/>
            <w:noWrap/>
          </w:tcPr>
          <w:p w14:paraId="6DD47696" w14:textId="77777777" w:rsidR="004D0F65" w:rsidRPr="00F734D4" w:rsidRDefault="004D0F65" w:rsidP="00042053">
            <w:pPr>
              <w:pStyle w:val="TableTextLeft-Indent"/>
              <w:spacing w:after="0"/>
              <w:rPr>
                <w:rFonts w:cs="Arial"/>
              </w:rPr>
            </w:pPr>
            <w:r w:rsidRPr="00F734D4">
              <w:t>Optus Financial Guarantee</w:t>
            </w:r>
          </w:p>
        </w:tc>
        <w:tc>
          <w:tcPr>
            <w:tcW w:w="741" w:type="pct"/>
            <w:noWrap/>
          </w:tcPr>
          <w:p w14:paraId="0AD63E66" w14:textId="77777777" w:rsidR="004D0F65" w:rsidRPr="00F734D4" w:rsidRDefault="004D0F65" w:rsidP="00042053">
            <w:pPr>
              <w:pStyle w:val="TableTextLeft"/>
            </w:pPr>
            <w:r>
              <w:t>Removed</w:t>
            </w:r>
          </w:p>
        </w:tc>
      </w:tr>
      <w:tr w:rsidR="004D0F65" w:rsidRPr="00F734D4" w14:paraId="3FBB0B80" w14:textId="77777777" w:rsidTr="00042053">
        <w:trPr>
          <w:trHeight w:val="228"/>
        </w:trPr>
        <w:tc>
          <w:tcPr>
            <w:tcW w:w="4259" w:type="pct"/>
            <w:noWrap/>
          </w:tcPr>
          <w:p w14:paraId="0BDE6B03" w14:textId="77777777" w:rsidR="004D0F65" w:rsidRPr="00F734D4" w:rsidRDefault="004D0F65" w:rsidP="00042053">
            <w:pPr>
              <w:pStyle w:val="TableTextLeft-Indent"/>
              <w:spacing w:after="0"/>
              <w:rPr>
                <w:rFonts w:cs="Arial"/>
              </w:rPr>
            </w:pPr>
            <w:r w:rsidRPr="00F734D4">
              <w:t>Telstra Financial Guarantee</w:t>
            </w:r>
          </w:p>
        </w:tc>
        <w:tc>
          <w:tcPr>
            <w:tcW w:w="741" w:type="pct"/>
            <w:noWrap/>
          </w:tcPr>
          <w:p w14:paraId="6EBC0FE7" w14:textId="77777777" w:rsidR="004D0F65" w:rsidRPr="00F734D4" w:rsidRDefault="004D0F65" w:rsidP="00042053">
            <w:pPr>
              <w:pStyle w:val="TableTextLeft"/>
            </w:pPr>
            <w:r>
              <w:t>Unchanged</w:t>
            </w:r>
          </w:p>
        </w:tc>
      </w:tr>
      <w:tr w:rsidR="004D0F65" w:rsidRPr="00F734D4" w14:paraId="536649FF" w14:textId="77777777" w:rsidTr="00042053">
        <w:trPr>
          <w:trHeight w:val="228"/>
        </w:trPr>
        <w:tc>
          <w:tcPr>
            <w:tcW w:w="4259" w:type="pct"/>
            <w:noWrap/>
          </w:tcPr>
          <w:p w14:paraId="05B50DA3" w14:textId="77777777" w:rsidR="004D0F65" w:rsidRPr="00F734D4" w:rsidRDefault="004D0F65" w:rsidP="00042053">
            <w:pPr>
              <w:pStyle w:val="TableTextLeft-Indent"/>
              <w:spacing w:after="0"/>
              <w:rPr>
                <w:rFonts w:cs="Arial"/>
              </w:rPr>
            </w:pPr>
            <w:r w:rsidRPr="00F734D4">
              <w:t>Tripartite deeds relating to the sale of federal leased airports</w:t>
            </w:r>
          </w:p>
        </w:tc>
        <w:tc>
          <w:tcPr>
            <w:tcW w:w="741" w:type="pct"/>
            <w:noWrap/>
          </w:tcPr>
          <w:p w14:paraId="0DD8DB6B" w14:textId="77777777" w:rsidR="004D0F65" w:rsidRPr="00F734D4" w:rsidRDefault="004D0F65" w:rsidP="00042053">
            <w:pPr>
              <w:pStyle w:val="TableTextLeft"/>
            </w:pPr>
            <w:r w:rsidRPr="00F734D4">
              <w:rPr>
                <w:rFonts w:eastAsia="Arial" w:cs="Arial"/>
              </w:rPr>
              <w:t>Unchanged</w:t>
            </w:r>
          </w:p>
        </w:tc>
      </w:tr>
      <w:tr w:rsidR="004D0F65" w:rsidRPr="00F734D4" w14:paraId="6D0798B0" w14:textId="77777777" w:rsidTr="00042053">
        <w:trPr>
          <w:trHeight w:val="228"/>
        </w:trPr>
        <w:tc>
          <w:tcPr>
            <w:tcW w:w="4259" w:type="pct"/>
            <w:noWrap/>
          </w:tcPr>
          <w:p w14:paraId="1631A956" w14:textId="4F3FDB65" w:rsidR="004D0F65" w:rsidRPr="00F734D4" w:rsidRDefault="004D0F65" w:rsidP="00042053">
            <w:pPr>
              <w:pStyle w:val="TableTextLeft-Indent"/>
              <w:spacing w:after="0"/>
              <w:rPr>
                <w:rFonts w:cs="Arial"/>
              </w:rPr>
            </w:pPr>
            <w:r w:rsidRPr="00F734D4">
              <w:t>WSA Co Limited – Board Members</w:t>
            </w:r>
            <w:r w:rsidR="00D737F9">
              <w:t>’</w:t>
            </w:r>
            <w:r w:rsidRPr="00F734D4">
              <w:t xml:space="preserve"> indemnities</w:t>
            </w:r>
          </w:p>
        </w:tc>
        <w:tc>
          <w:tcPr>
            <w:tcW w:w="741" w:type="pct"/>
            <w:noWrap/>
          </w:tcPr>
          <w:p w14:paraId="0A39F8B9" w14:textId="77777777" w:rsidR="004D0F65" w:rsidRPr="00F734D4" w:rsidRDefault="004D0F65" w:rsidP="00042053">
            <w:pPr>
              <w:pStyle w:val="TableTextLeft"/>
            </w:pPr>
            <w:r w:rsidRPr="00F734D4">
              <w:t>Unchanged</w:t>
            </w:r>
          </w:p>
        </w:tc>
      </w:tr>
      <w:tr w:rsidR="004D0F65" w:rsidRPr="00F734D4" w14:paraId="57D31107" w14:textId="77777777" w:rsidTr="00042053">
        <w:trPr>
          <w:trHeight w:val="228"/>
        </w:trPr>
        <w:tc>
          <w:tcPr>
            <w:tcW w:w="4259" w:type="pct"/>
            <w:noWrap/>
          </w:tcPr>
          <w:p w14:paraId="57797CB7" w14:textId="77777777" w:rsidR="004D0F65" w:rsidRPr="00F734D4" w:rsidRDefault="004D0F65" w:rsidP="00042053">
            <w:pPr>
              <w:pStyle w:val="TableTextLeft-Indent"/>
              <w:spacing w:after="0"/>
            </w:pPr>
            <w:r w:rsidRPr="00F734D4">
              <w:t>WSA Co Limited – Sydney Metro – Western Sydney Airport indemnity</w:t>
            </w:r>
          </w:p>
        </w:tc>
        <w:tc>
          <w:tcPr>
            <w:tcW w:w="741" w:type="pct"/>
            <w:noWrap/>
          </w:tcPr>
          <w:p w14:paraId="6AB25E28" w14:textId="77777777" w:rsidR="004D0F65" w:rsidRPr="00F734D4" w:rsidRDefault="004D0F65" w:rsidP="00042053">
            <w:pPr>
              <w:pStyle w:val="TableTextLeft"/>
            </w:pPr>
            <w:r w:rsidRPr="00F734D4">
              <w:t>Unchanged</w:t>
            </w:r>
          </w:p>
        </w:tc>
      </w:tr>
      <w:tr w:rsidR="004D0F65" w:rsidRPr="00F734D4" w14:paraId="358D6DF2" w14:textId="77777777" w:rsidTr="00042053">
        <w:trPr>
          <w:trHeight w:val="228"/>
        </w:trPr>
        <w:tc>
          <w:tcPr>
            <w:tcW w:w="4259" w:type="pct"/>
            <w:noWrap/>
          </w:tcPr>
          <w:p w14:paraId="574113FB" w14:textId="77777777" w:rsidR="004D0F65" w:rsidRPr="00F734D4" w:rsidRDefault="004D0F65" w:rsidP="00042053">
            <w:pPr>
              <w:pStyle w:val="TableTextLeft-Indent"/>
              <w:spacing w:after="0"/>
              <w:rPr>
                <w:rFonts w:cs="Arial"/>
              </w:rPr>
            </w:pPr>
            <w:r w:rsidRPr="00F734D4">
              <w:t>WSA Co Limited – Termination of the Equity Subscription Agreement</w:t>
            </w:r>
          </w:p>
        </w:tc>
        <w:tc>
          <w:tcPr>
            <w:tcW w:w="741" w:type="pct"/>
            <w:noWrap/>
          </w:tcPr>
          <w:p w14:paraId="76A8673C" w14:textId="77777777" w:rsidR="004D0F65" w:rsidRPr="00F734D4" w:rsidRDefault="004D0F65" w:rsidP="00042053">
            <w:pPr>
              <w:pStyle w:val="TableTextLeft"/>
            </w:pPr>
            <w:r w:rsidRPr="00F734D4">
              <w:t>Unchanged</w:t>
            </w:r>
          </w:p>
        </w:tc>
      </w:tr>
    </w:tbl>
    <w:p w14:paraId="0DBFAE37" w14:textId="77777777" w:rsidR="004D0F65" w:rsidRPr="006460F9" w:rsidRDefault="004D0F65" w:rsidP="004D0F65">
      <w:pPr>
        <w:rPr>
          <w:rFonts w:eastAsia="Arial"/>
        </w:rPr>
      </w:pPr>
      <w:r w:rsidRPr="006460F9">
        <w:rPr>
          <w:rFonts w:eastAsia="Arial"/>
        </w:rPr>
        <w:br w:type="page"/>
      </w:r>
    </w:p>
    <w:p w14:paraId="0D8B2A88" w14:textId="77777777" w:rsidR="004D0F65" w:rsidRPr="00F734D4" w:rsidRDefault="004D0F65" w:rsidP="004D0F65">
      <w:pPr>
        <w:pStyle w:val="TableHeadingcontinued"/>
        <w:rPr>
          <w:rFonts w:eastAsia="Arial"/>
        </w:rPr>
      </w:pPr>
      <w:r w:rsidRPr="00D13C64">
        <w:rPr>
          <w:rFonts w:eastAsia="Arial"/>
        </w:rPr>
        <w:lastRenderedPageBreak/>
        <w:t xml:space="preserve">Table </w:t>
      </w:r>
      <w:r>
        <w:rPr>
          <w:rFonts w:eastAsia="Arial"/>
        </w:rPr>
        <w:t>9</w:t>
      </w:r>
      <w:r w:rsidRPr="00D13C64">
        <w:rPr>
          <w:rFonts w:eastAsia="Arial"/>
        </w:rPr>
        <w:t>.2: Summary</w:t>
      </w:r>
      <w:r w:rsidRPr="00C07FB5">
        <w:rPr>
          <w:rFonts w:eastAsia="Arial"/>
        </w:rPr>
        <w:t xml:space="preserve"> of </w:t>
      </w:r>
      <w:r>
        <w:rPr>
          <w:rFonts w:eastAsia="Arial"/>
        </w:rPr>
        <w:t xml:space="preserve">fiscal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22"/>
        <w:gridCol w:w="1189"/>
      </w:tblGrid>
      <w:tr w:rsidR="004D0F65" w:rsidRPr="00F734D4" w14:paraId="59604133" w14:textId="77777777" w:rsidTr="00FF4B0A">
        <w:trPr>
          <w:trHeight w:val="228"/>
        </w:trPr>
        <w:tc>
          <w:tcPr>
            <w:tcW w:w="4229" w:type="pct"/>
            <w:shd w:val="clear" w:color="auto" w:fill="E6F2FF"/>
            <w:noWrap/>
          </w:tcPr>
          <w:p w14:paraId="2EEB5FE0" w14:textId="77777777" w:rsidR="004D0F65" w:rsidRPr="00F734D4" w:rsidRDefault="004D0F65" w:rsidP="00042053">
            <w:pPr>
              <w:pStyle w:val="TableColumnHeadingLeft"/>
            </w:pPr>
            <w:r w:rsidRPr="00F734D4">
              <w:t>Infrastructure, Transport, Regional Development, Communications and the Arts (continued)</w:t>
            </w:r>
          </w:p>
        </w:tc>
        <w:tc>
          <w:tcPr>
            <w:tcW w:w="771" w:type="pct"/>
            <w:shd w:val="clear" w:color="auto" w:fill="E6F2FF"/>
            <w:noWrap/>
          </w:tcPr>
          <w:p w14:paraId="16C9DE42" w14:textId="77777777" w:rsidR="004D0F65" w:rsidRPr="00F734D4" w:rsidRDefault="004D0F65" w:rsidP="00042053">
            <w:pPr>
              <w:pStyle w:val="TableColumnHeadingLeft"/>
            </w:pPr>
            <w:r w:rsidRPr="00F734D4">
              <w:t>Status</w:t>
            </w:r>
          </w:p>
        </w:tc>
      </w:tr>
      <w:tr w:rsidR="004D0F65" w:rsidRPr="00F734D4" w14:paraId="0094B902" w14:textId="77777777" w:rsidTr="00FF4B0A">
        <w:trPr>
          <w:trHeight w:val="228"/>
        </w:trPr>
        <w:tc>
          <w:tcPr>
            <w:tcW w:w="4229" w:type="pct"/>
            <w:shd w:val="clear" w:color="auto" w:fill="E6F2FF"/>
            <w:noWrap/>
          </w:tcPr>
          <w:p w14:paraId="5CB21658" w14:textId="77777777" w:rsidR="004D0F65" w:rsidRPr="00F734D4" w:rsidRDefault="004D0F65" w:rsidP="00042053">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37101F7C" w14:textId="77777777" w:rsidR="004D0F65" w:rsidRPr="00F734D4" w:rsidRDefault="004D0F65" w:rsidP="00042053">
            <w:pPr>
              <w:pStyle w:val="TableTextLeft"/>
            </w:pPr>
          </w:p>
        </w:tc>
      </w:tr>
      <w:tr w:rsidR="004D0F65" w:rsidRPr="00F734D4" w14:paraId="7F78DBC2" w14:textId="77777777" w:rsidTr="00FF4B0A">
        <w:trPr>
          <w:trHeight w:val="228"/>
        </w:trPr>
        <w:tc>
          <w:tcPr>
            <w:tcW w:w="4229" w:type="pct"/>
            <w:noWrap/>
          </w:tcPr>
          <w:p w14:paraId="648A36D9" w14:textId="55692B2A" w:rsidR="004D0F65" w:rsidRPr="00F734D4" w:rsidRDefault="004D0F65" w:rsidP="00042053">
            <w:pPr>
              <w:pStyle w:val="TableTextLeft-Indent"/>
            </w:pPr>
            <w:r w:rsidRPr="00F734D4">
              <w:t>Australian Maritime Safety Authority</w:t>
            </w:r>
            <w:r w:rsidR="00DD01AB">
              <w:t xml:space="preserve"> – ship-sourced pollution</w:t>
            </w:r>
            <w:r w:rsidRPr="00F734D4">
              <w:t xml:space="preserve"> incident costs</w:t>
            </w:r>
          </w:p>
        </w:tc>
        <w:tc>
          <w:tcPr>
            <w:tcW w:w="771" w:type="pct"/>
            <w:noWrap/>
          </w:tcPr>
          <w:p w14:paraId="25671AB8" w14:textId="77777777" w:rsidR="004D0F65" w:rsidRPr="00F734D4" w:rsidRDefault="004D0F65" w:rsidP="00042053">
            <w:pPr>
              <w:pStyle w:val="TableTextLeft"/>
            </w:pPr>
            <w:r w:rsidRPr="00F734D4">
              <w:t>Unchanged</w:t>
            </w:r>
          </w:p>
        </w:tc>
      </w:tr>
      <w:tr w:rsidR="004D0F65" w:rsidRPr="00F734D4" w14:paraId="7F21F4FA" w14:textId="77777777" w:rsidTr="00FF4B0A">
        <w:trPr>
          <w:trHeight w:val="228"/>
        </w:trPr>
        <w:tc>
          <w:tcPr>
            <w:tcW w:w="4229" w:type="pct"/>
            <w:noWrap/>
          </w:tcPr>
          <w:p w14:paraId="5A93964A" w14:textId="31170D58" w:rsidR="004D0F65" w:rsidRPr="00F734D4" w:rsidRDefault="004D0F65" w:rsidP="00042053">
            <w:pPr>
              <w:pStyle w:val="TableTextLeft-Indent"/>
            </w:pPr>
            <w:r w:rsidRPr="00F734D4">
              <w:t>Aviation rescue and firefighting</w:t>
            </w:r>
            <w:r>
              <w:t xml:space="preserve"> services</w:t>
            </w:r>
            <w:r w:rsidRPr="00F734D4">
              <w:t xml:space="preserve"> potential per</w:t>
            </w:r>
            <w:r w:rsidR="00D737F9">
              <w:noBreakHyphen/>
            </w:r>
            <w:r w:rsidRPr="00F734D4">
              <w:t xml:space="preserve"> and poly</w:t>
            </w:r>
            <w:r w:rsidR="00D737F9">
              <w:noBreakHyphen/>
            </w:r>
            <w:r w:rsidRPr="00F734D4">
              <w:t>fluoroalkyl substances</w:t>
            </w:r>
            <w:r w:rsidR="00176A99">
              <w:t> </w:t>
            </w:r>
            <w:r w:rsidRPr="00F734D4">
              <w:t>contamination</w:t>
            </w:r>
          </w:p>
        </w:tc>
        <w:tc>
          <w:tcPr>
            <w:tcW w:w="771" w:type="pct"/>
            <w:noWrap/>
          </w:tcPr>
          <w:p w14:paraId="6AF9759D" w14:textId="77777777" w:rsidR="004D0F65" w:rsidRPr="00F734D4" w:rsidRDefault="004D0F65" w:rsidP="00042053">
            <w:pPr>
              <w:pStyle w:val="TableTextLeft"/>
            </w:pPr>
            <w:r>
              <w:t>Unchanged</w:t>
            </w:r>
          </w:p>
        </w:tc>
      </w:tr>
      <w:tr w:rsidR="004D0F65" w:rsidRPr="00F734D4" w14:paraId="1B813C56" w14:textId="77777777" w:rsidTr="00FF4B0A">
        <w:trPr>
          <w:trHeight w:val="228"/>
        </w:trPr>
        <w:tc>
          <w:tcPr>
            <w:tcW w:w="4229" w:type="pct"/>
            <w:noWrap/>
          </w:tcPr>
          <w:p w14:paraId="54C01F38" w14:textId="34CE16FA" w:rsidR="004D0F65" w:rsidRPr="00F734D4" w:rsidRDefault="004D0F65" w:rsidP="00042053">
            <w:pPr>
              <w:pStyle w:val="TableTextLeft-Indent"/>
            </w:pPr>
            <w:r w:rsidRPr="00F734D4">
              <w:t>Indemnity provided to the New South Wales Rural Fire Fighting Service in</w:t>
            </w:r>
            <w:r w:rsidR="00207041">
              <w:t> </w:t>
            </w:r>
            <w:r w:rsidRPr="00F734D4">
              <w:t>relation</w:t>
            </w:r>
            <w:r w:rsidR="00207041">
              <w:t> </w:t>
            </w:r>
            <w:r w:rsidRPr="00F734D4">
              <w:t>to</w:t>
            </w:r>
            <w:r w:rsidR="00176A99">
              <w:t> </w:t>
            </w:r>
            <w:r w:rsidRPr="00F734D4">
              <w:t>the Jervis Bay Territory</w:t>
            </w:r>
          </w:p>
        </w:tc>
        <w:tc>
          <w:tcPr>
            <w:tcW w:w="771" w:type="pct"/>
            <w:noWrap/>
          </w:tcPr>
          <w:p w14:paraId="697A7FAF" w14:textId="77777777" w:rsidR="004D0F65" w:rsidRPr="00F734D4" w:rsidRDefault="004D0F65" w:rsidP="00042053">
            <w:pPr>
              <w:pStyle w:val="TableTextLeft"/>
            </w:pPr>
            <w:r w:rsidRPr="00F734D4">
              <w:rPr>
                <w:rFonts w:eastAsia="Arial" w:cs="Arial"/>
              </w:rPr>
              <w:t>Unchanged</w:t>
            </w:r>
          </w:p>
        </w:tc>
      </w:tr>
      <w:tr w:rsidR="004D0F65" w:rsidRPr="00F734D4" w14:paraId="2820DBB1" w14:textId="77777777" w:rsidTr="00FF4B0A">
        <w:trPr>
          <w:trHeight w:val="228"/>
        </w:trPr>
        <w:tc>
          <w:tcPr>
            <w:tcW w:w="4229" w:type="pct"/>
            <w:noWrap/>
          </w:tcPr>
          <w:p w14:paraId="47F467F6" w14:textId="77777777" w:rsidR="004D0F65" w:rsidRPr="00F734D4" w:rsidDel="00EA035B" w:rsidRDefault="004D0F65" w:rsidP="00042053">
            <w:pPr>
              <w:pStyle w:val="TableTextLeft-Indent"/>
            </w:pPr>
            <w:r w:rsidRPr="00F734D4">
              <w:t>Moorebank Intermodal Project – Georges River rail crossing</w:t>
            </w:r>
          </w:p>
        </w:tc>
        <w:tc>
          <w:tcPr>
            <w:tcW w:w="771" w:type="pct"/>
            <w:noWrap/>
          </w:tcPr>
          <w:p w14:paraId="06453577" w14:textId="77777777" w:rsidR="004D0F65" w:rsidRPr="00F734D4" w:rsidDel="005573C6" w:rsidRDefault="004D0F65" w:rsidP="00042053">
            <w:pPr>
              <w:pStyle w:val="TableTextLeft"/>
            </w:pPr>
            <w:r w:rsidRPr="00F734D4">
              <w:t>Unchanged</w:t>
            </w:r>
          </w:p>
        </w:tc>
      </w:tr>
      <w:tr w:rsidR="004D0F65" w:rsidRPr="00F734D4" w14:paraId="1020C4CD" w14:textId="77777777" w:rsidTr="00FF4B0A">
        <w:trPr>
          <w:trHeight w:val="228"/>
        </w:trPr>
        <w:tc>
          <w:tcPr>
            <w:tcW w:w="4229" w:type="pct"/>
            <w:noWrap/>
          </w:tcPr>
          <w:p w14:paraId="0F98D764" w14:textId="7680876C" w:rsidR="004D0F65" w:rsidRPr="00F734D4" w:rsidRDefault="004D0F65" w:rsidP="00042053">
            <w:pPr>
              <w:pStyle w:val="TableTextLeft-Indent"/>
            </w:pPr>
            <w:r w:rsidRPr="00F734D4">
              <w:t>Service Delivery Arrangement Indemnities – Indian Ocean Territories</w:t>
            </w:r>
            <w:r>
              <w:t xml:space="preserve"> </w:t>
            </w:r>
            <w:r w:rsidRPr="00F734D4">
              <w:t>and</w:t>
            </w:r>
            <w:r w:rsidR="00207041">
              <w:t> </w:t>
            </w:r>
            <w:r w:rsidRPr="00F734D4">
              <w:t>Jervis</w:t>
            </w:r>
            <w:r w:rsidR="00176A99">
              <w:t> </w:t>
            </w:r>
            <w:r w:rsidRPr="00F734D4">
              <w:t>Bay</w:t>
            </w:r>
            <w:r w:rsidR="00176A99">
              <w:t> </w:t>
            </w:r>
            <w:r w:rsidRPr="00F734D4">
              <w:t>Territory</w:t>
            </w:r>
          </w:p>
        </w:tc>
        <w:tc>
          <w:tcPr>
            <w:tcW w:w="771" w:type="pct"/>
            <w:noWrap/>
          </w:tcPr>
          <w:p w14:paraId="758BD2BE" w14:textId="77777777" w:rsidR="004D0F65" w:rsidRPr="00F734D4" w:rsidRDefault="004D0F65" w:rsidP="00042053">
            <w:pPr>
              <w:pStyle w:val="TableTextLeft"/>
            </w:pPr>
            <w:r>
              <w:t>Unchanged</w:t>
            </w:r>
          </w:p>
        </w:tc>
      </w:tr>
      <w:tr w:rsidR="004D0F65" w:rsidRPr="00F734D4" w14:paraId="2566EFFE" w14:textId="77777777" w:rsidTr="00FF4B0A">
        <w:trPr>
          <w:trHeight w:val="228"/>
        </w:trPr>
        <w:tc>
          <w:tcPr>
            <w:tcW w:w="4229" w:type="pct"/>
            <w:shd w:val="clear" w:color="auto" w:fill="E6F2FF"/>
            <w:noWrap/>
          </w:tcPr>
          <w:p w14:paraId="542AB707" w14:textId="77777777" w:rsidR="004D0F65" w:rsidRPr="00F734D4" w:rsidRDefault="004D0F65" w:rsidP="00042053">
            <w:pPr>
              <w:pStyle w:val="TableColumnHeadingLeft"/>
            </w:pPr>
            <w:r w:rsidRPr="00F734D4">
              <w:t>Prime Minister and Cabinet</w:t>
            </w:r>
          </w:p>
        </w:tc>
        <w:tc>
          <w:tcPr>
            <w:tcW w:w="771" w:type="pct"/>
            <w:shd w:val="clear" w:color="auto" w:fill="E6F2FF"/>
            <w:noWrap/>
          </w:tcPr>
          <w:p w14:paraId="05BC571F" w14:textId="77777777" w:rsidR="004D0F65" w:rsidRPr="00F734D4" w:rsidRDefault="004D0F65" w:rsidP="00042053">
            <w:pPr>
              <w:pStyle w:val="TableColumnHeadingLeft"/>
            </w:pPr>
            <w:r w:rsidRPr="00F734D4">
              <w:t>Status</w:t>
            </w:r>
          </w:p>
        </w:tc>
      </w:tr>
      <w:tr w:rsidR="004D0F65" w:rsidRPr="00F734D4" w14:paraId="1B7AFC3B" w14:textId="77777777" w:rsidTr="00FF4B0A">
        <w:trPr>
          <w:trHeight w:val="228"/>
        </w:trPr>
        <w:tc>
          <w:tcPr>
            <w:tcW w:w="4229" w:type="pct"/>
            <w:shd w:val="clear" w:color="auto" w:fill="E6F2FF"/>
            <w:noWrap/>
          </w:tcPr>
          <w:p w14:paraId="7911B1CC" w14:textId="77777777" w:rsidR="004D0F65" w:rsidRPr="00F734D4" w:rsidRDefault="004D0F65" w:rsidP="00042053">
            <w:pPr>
              <w:pStyle w:val="TableColumnHeadingLeft"/>
              <w:rPr>
                <w:rFonts w:eastAsia="Calibri"/>
              </w:rPr>
            </w:pPr>
            <w:r w:rsidRPr="00F734D4">
              <w:rPr>
                <w:rFonts w:eastAsia="Arial"/>
              </w:rPr>
              <w:t>Contingent liabilit</w:t>
            </w:r>
            <w:r>
              <w:rPr>
                <w:rFonts w:eastAsia="Arial"/>
              </w:rPr>
              <w:t>y</w:t>
            </w:r>
            <w:r w:rsidRPr="00F734D4">
              <w:rPr>
                <w:rFonts w:eastAsia="Arial"/>
              </w:rPr>
              <w:t xml:space="preserve"> – unquantifiable</w:t>
            </w:r>
          </w:p>
        </w:tc>
        <w:tc>
          <w:tcPr>
            <w:tcW w:w="771" w:type="pct"/>
            <w:shd w:val="clear" w:color="auto" w:fill="E6F2FF"/>
            <w:noWrap/>
          </w:tcPr>
          <w:p w14:paraId="36DEC6BC" w14:textId="77777777" w:rsidR="004D0F65" w:rsidRPr="00F734D4" w:rsidRDefault="004D0F65" w:rsidP="00042053">
            <w:pPr>
              <w:pStyle w:val="TableTextLeft"/>
            </w:pPr>
          </w:p>
        </w:tc>
      </w:tr>
      <w:tr w:rsidR="004D0F65" w:rsidRPr="00F734D4" w14:paraId="2F5A2E2F" w14:textId="77777777" w:rsidTr="00FF4B0A">
        <w:trPr>
          <w:trHeight w:val="228"/>
        </w:trPr>
        <w:tc>
          <w:tcPr>
            <w:tcW w:w="4229" w:type="pct"/>
            <w:shd w:val="clear" w:color="auto" w:fill="auto"/>
            <w:noWrap/>
          </w:tcPr>
          <w:p w14:paraId="582B266B" w14:textId="77777777" w:rsidR="004D0F65" w:rsidRPr="00F734D4" w:rsidRDefault="004D0F65" w:rsidP="00042053">
            <w:pPr>
              <w:pStyle w:val="TableTextLeft-Indent"/>
            </w:pPr>
            <w:r w:rsidRPr="00F734D4">
              <w:rPr>
                <w:i/>
              </w:rPr>
              <w:t>McDonald v Commonwealth</w:t>
            </w:r>
            <w:r w:rsidRPr="00F734D4">
              <w:t xml:space="preserve"> (Stolen Wages Class Action)</w:t>
            </w:r>
          </w:p>
        </w:tc>
        <w:tc>
          <w:tcPr>
            <w:tcW w:w="771" w:type="pct"/>
            <w:shd w:val="clear" w:color="auto" w:fill="auto"/>
            <w:noWrap/>
          </w:tcPr>
          <w:p w14:paraId="0A6DBF8D" w14:textId="77777777" w:rsidR="004D0F65" w:rsidRPr="00F734D4" w:rsidRDefault="004D0F65" w:rsidP="00042053">
            <w:pPr>
              <w:pStyle w:val="TableTextLeft"/>
            </w:pPr>
            <w:r w:rsidRPr="00F734D4">
              <w:t>Unchanged</w:t>
            </w:r>
          </w:p>
        </w:tc>
      </w:tr>
      <w:tr w:rsidR="004D0F65" w:rsidRPr="00F734D4" w14:paraId="68216058" w14:textId="77777777" w:rsidTr="00FF4B0A">
        <w:trPr>
          <w:trHeight w:val="228"/>
        </w:trPr>
        <w:tc>
          <w:tcPr>
            <w:tcW w:w="4229" w:type="pct"/>
            <w:shd w:val="clear" w:color="auto" w:fill="E6F2FF"/>
            <w:noWrap/>
          </w:tcPr>
          <w:p w14:paraId="31AA9020" w14:textId="77777777" w:rsidR="004D0F65" w:rsidRPr="00F734D4" w:rsidRDefault="004D0F65" w:rsidP="00042053">
            <w:pPr>
              <w:pStyle w:val="TableColumnHeadingLeft"/>
              <w:rPr>
                <w:rFonts w:eastAsia="Calibri"/>
              </w:rPr>
            </w:pPr>
            <w:r w:rsidRPr="00F734D4">
              <w:rPr>
                <w:rFonts w:eastAsia="Arial"/>
              </w:rPr>
              <w:t>Contingent liability – quantifiable</w:t>
            </w:r>
          </w:p>
        </w:tc>
        <w:tc>
          <w:tcPr>
            <w:tcW w:w="771" w:type="pct"/>
            <w:shd w:val="clear" w:color="auto" w:fill="E6F2FF"/>
            <w:noWrap/>
          </w:tcPr>
          <w:p w14:paraId="7767E74D" w14:textId="77777777" w:rsidR="004D0F65" w:rsidRPr="00AD3D62" w:rsidRDefault="004D0F65" w:rsidP="00042053">
            <w:pPr>
              <w:pStyle w:val="TableTextLeft"/>
            </w:pPr>
          </w:p>
        </w:tc>
      </w:tr>
      <w:tr w:rsidR="004D0F65" w:rsidRPr="00F734D4" w14:paraId="0BDDFF01" w14:textId="77777777" w:rsidTr="00FF4B0A">
        <w:trPr>
          <w:trHeight w:val="228"/>
        </w:trPr>
        <w:tc>
          <w:tcPr>
            <w:tcW w:w="4229" w:type="pct"/>
            <w:shd w:val="clear" w:color="auto" w:fill="auto"/>
            <w:noWrap/>
          </w:tcPr>
          <w:p w14:paraId="6379F50C" w14:textId="77777777" w:rsidR="004D0F65" w:rsidRPr="00F734D4" w:rsidRDefault="004D0F65" w:rsidP="00042053">
            <w:pPr>
              <w:pStyle w:val="TableTextLeft-Indent"/>
            </w:pPr>
            <w:r w:rsidRPr="00F734D4">
              <w:t>Indigenous Land and Sea Corporation – Voyages Indigenous Tourism Australia</w:t>
            </w:r>
          </w:p>
        </w:tc>
        <w:tc>
          <w:tcPr>
            <w:tcW w:w="771" w:type="pct"/>
            <w:shd w:val="clear" w:color="auto" w:fill="auto"/>
            <w:noWrap/>
          </w:tcPr>
          <w:p w14:paraId="58BAA879" w14:textId="77777777" w:rsidR="004D0F65" w:rsidRPr="00AD3D62" w:rsidRDefault="004D0F65" w:rsidP="00042053">
            <w:pPr>
              <w:pStyle w:val="TableTextLeft"/>
            </w:pPr>
            <w:r>
              <w:t>Unchanged</w:t>
            </w:r>
          </w:p>
        </w:tc>
      </w:tr>
      <w:tr w:rsidR="004D0F65" w:rsidRPr="00F734D4" w14:paraId="628AA19B" w14:textId="77777777" w:rsidTr="00FF4B0A">
        <w:trPr>
          <w:trHeight w:val="228"/>
        </w:trPr>
        <w:tc>
          <w:tcPr>
            <w:tcW w:w="4229" w:type="pct"/>
            <w:shd w:val="clear" w:color="auto" w:fill="E6F2FF"/>
            <w:noWrap/>
          </w:tcPr>
          <w:p w14:paraId="5E8C830E" w14:textId="77777777" w:rsidR="004D0F65" w:rsidRPr="00F734D4" w:rsidRDefault="004D0F65" w:rsidP="00042053">
            <w:pPr>
              <w:pStyle w:val="TableColumnHeadingLeft"/>
            </w:pPr>
            <w:r w:rsidRPr="00F734D4">
              <w:t>Social Services</w:t>
            </w:r>
          </w:p>
        </w:tc>
        <w:tc>
          <w:tcPr>
            <w:tcW w:w="771" w:type="pct"/>
            <w:shd w:val="clear" w:color="auto" w:fill="E6F2FF"/>
            <w:noWrap/>
          </w:tcPr>
          <w:p w14:paraId="4F8CAB0B" w14:textId="77777777" w:rsidR="004D0F65" w:rsidRPr="00AD3D62" w:rsidRDefault="004D0F65" w:rsidP="00042053">
            <w:pPr>
              <w:pStyle w:val="TableColumnHeadingLeft"/>
            </w:pPr>
            <w:r w:rsidRPr="00AD3D62">
              <w:t>Status</w:t>
            </w:r>
          </w:p>
        </w:tc>
      </w:tr>
      <w:tr w:rsidR="004D0F65" w:rsidRPr="00F734D4" w14:paraId="7B631D6E" w14:textId="77777777" w:rsidTr="00FF4B0A">
        <w:trPr>
          <w:trHeight w:val="228"/>
        </w:trPr>
        <w:tc>
          <w:tcPr>
            <w:tcW w:w="4229" w:type="pct"/>
            <w:shd w:val="clear" w:color="auto" w:fill="E6F2FF"/>
            <w:noWrap/>
          </w:tcPr>
          <w:p w14:paraId="7B66A4A0" w14:textId="77777777" w:rsidR="004D0F65" w:rsidRPr="00F734D4" w:rsidRDefault="004D0F65" w:rsidP="00042053">
            <w:pPr>
              <w:pStyle w:val="TableColumnHeadingLeft"/>
              <w:rPr>
                <w:rFonts w:eastAsia="Calibri"/>
              </w:rPr>
            </w:pPr>
            <w:r w:rsidRPr="00F734D4">
              <w:rPr>
                <w:rFonts w:eastAsia="Arial"/>
              </w:rPr>
              <w:t>Fiscal Risks</w:t>
            </w:r>
          </w:p>
        </w:tc>
        <w:tc>
          <w:tcPr>
            <w:tcW w:w="771" w:type="pct"/>
            <w:shd w:val="clear" w:color="auto" w:fill="E6F2FF"/>
            <w:noWrap/>
          </w:tcPr>
          <w:p w14:paraId="2BC68EDA" w14:textId="77777777" w:rsidR="004D0F65" w:rsidRPr="00AD3D62" w:rsidRDefault="004D0F65" w:rsidP="00042053">
            <w:pPr>
              <w:pStyle w:val="TableTextLeft"/>
            </w:pPr>
          </w:p>
        </w:tc>
      </w:tr>
      <w:tr w:rsidR="004D0F65" w:rsidRPr="00F734D4" w:rsidDel="00E872FE" w14:paraId="4A369101" w14:textId="77777777" w:rsidTr="00FF4B0A">
        <w:trPr>
          <w:trHeight w:val="228"/>
        </w:trPr>
        <w:tc>
          <w:tcPr>
            <w:tcW w:w="4229" w:type="pct"/>
            <w:shd w:val="clear" w:color="auto" w:fill="auto"/>
            <w:noWrap/>
          </w:tcPr>
          <w:p w14:paraId="246CF5CE" w14:textId="175568D9" w:rsidR="004D0F65" w:rsidRPr="00F734D4" w:rsidRDefault="004D0F65" w:rsidP="00042053">
            <w:pPr>
              <w:pStyle w:val="TableTextLeft-Indent"/>
            </w:pPr>
            <w:r w:rsidRPr="00F734D4">
              <w:t>COVID</w:t>
            </w:r>
            <w:r w:rsidR="00D737F9">
              <w:noBreakHyphen/>
            </w:r>
            <w:r w:rsidRPr="00F734D4">
              <w:t xml:space="preserve">19 and disaster social </w:t>
            </w:r>
            <w:r>
              <w:t>security</w:t>
            </w:r>
            <w:r w:rsidRPr="00F734D4">
              <w:t xml:space="preserve"> debt pause for specified areas </w:t>
            </w:r>
          </w:p>
        </w:tc>
        <w:tc>
          <w:tcPr>
            <w:tcW w:w="771" w:type="pct"/>
            <w:shd w:val="clear" w:color="auto" w:fill="auto"/>
            <w:noWrap/>
          </w:tcPr>
          <w:p w14:paraId="031EA898" w14:textId="77777777" w:rsidR="004D0F65" w:rsidRPr="00AD3D62" w:rsidRDefault="004D0F65" w:rsidP="00042053">
            <w:pPr>
              <w:pStyle w:val="TableTextLeft"/>
              <w:rPr>
                <w:rFonts w:eastAsia="Calibri"/>
              </w:rPr>
            </w:pPr>
            <w:r>
              <w:t>Unchanged</w:t>
            </w:r>
          </w:p>
        </w:tc>
      </w:tr>
      <w:tr w:rsidR="004D0F65" w:rsidRPr="00AD3D62" w:rsidDel="00E872FE" w14:paraId="6971281A" w14:textId="77777777" w:rsidTr="00FF4B0A">
        <w:trPr>
          <w:trHeight w:val="228"/>
        </w:trPr>
        <w:tc>
          <w:tcPr>
            <w:tcW w:w="4229" w:type="pct"/>
            <w:shd w:val="clear" w:color="auto" w:fill="auto"/>
            <w:noWrap/>
          </w:tcPr>
          <w:p w14:paraId="2A65BFA3" w14:textId="77777777" w:rsidR="004D0F65" w:rsidRPr="00F734D4" w:rsidRDefault="004D0F65" w:rsidP="00042053">
            <w:pPr>
              <w:pStyle w:val="TableTextLeft-Indent"/>
            </w:pPr>
            <w:r w:rsidRPr="00F734D4">
              <w:t>National Disability Insurance Scheme</w:t>
            </w:r>
          </w:p>
        </w:tc>
        <w:tc>
          <w:tcPr>
            <w:tcW w:w="771" w:type="pct"/>
            <w:shd w:val="clear" w:color="auto" w:fill="auto"/>
            <w:noWrap/>
          </w:tcPr>
          <w:p w14:paraId="1C75ACC1" w14:textId="77777777" w:rsidR="004D0F65" w:rsidRPr="00AD3D62" w:rsidRDefault="004D0F65" w:rsidP="00042053">
            <w:pPr>
              <w:pStyle w:val="TableTextLeft"/>
            </w:pPr>
            <w:r>
              <w:t>Modified</w:t>
            </w:r>
          </w:p>
        </w:tc>
      </w:tr>
      <w:tr w:rsidR="004D0F65" w:rsidRPr="00F734D4" w14:paraId="3B2E0F69" w14:textId="77777777" w:rsidTr="00FF4B0A">
        <w:trPr>
          <w:trHeight w:val="228"/>
        </w:trPr>
        <w:tc>
          <w:tcPr>
            <w:tcW w:w="4229" w:type="pct"/>
            <w:shd w:val="clear" w:color="auto" w:fill="E6F2FF"/>
            <w:noWrap/>
          </w:tcPr>
          <w:p w14:paraId="351C4BEE" w14:textId="77777777" w:rsidR="004D0F65" w:rsidRPr="00F734D4" w:rsidRDefault="004D0F65" w:rsidP="00042053">
            <w:pPr>
              <w:pStyle w:val="TableColumnHeadingLeft"/>
              <w:rPr>
                <w:rFonts w:eastAsia="Arial"/>
              </w:rPr>
            </w:pPr>
            <w:r>
              <w:rPr>
                <w:rFonts w:eastAsia="Arial"/>
              </w:rPr>
              <w:t xml:space="preserve">Contingent liability – unquantifiable </w:t>
            </w:r>
          </w:p>
        </w:tc>
        <w:tc>
          <w:tcPr>
            <w:tcW w:w="771" w:type="pct"/>
            <w:shd w:val="clear" w:color="auto" w:fill="E6F2FF"/>
            <w:noWrap/>
          </w:tcPr>
          <w:p w14:paraId="1999C52D" w14:textId="77777777" w:rsidR="004D0F65" w:rsidRPr="00F734D4" w:rsidRDefault="004D0F65" w:rsidP="00042053">
            <w:pPr>
              <w:pStyle w:val="TableTextLeft"/>
            </w:pPr>
          </w:p>
        </w:tc>
      </w:tr>
      <w:tr w:rsidR="004D0F65" w:rsidRPr="00F734D4" w14:paraId="5245C3DC" w14:textId="77777777" w:rsidTr="00FF4B0A">
        <w:trPr>
          <w:trHeight w:val="228"/>
        </w:trPr>
        <w:tc>
          <w:tcPr>
            <w:tcW w:w="4229" w:type="pct"/>
            <w:shd w:val="clear" w:color="auto" w:fill="FFFFFF" w:themeFill="background1"/>
            <w:noWrap/>
          </w:tcPr>
          <w:p w14:paraId="71121498" w14:textId="77777777" w:rsidR="004D0F65" w:rsidRPr="006F6B94" w:rsidRDefault="004D0F65" w:rsidP="00042053">
            <w:pPr>
              <w:pStyle w:val="TableTextLeft-Indent"/>
              <w:rPr>
                <w:rFonts w:eastAsia="Arial" w:cs="Arial"/>
              </w:rPr>
            </w:pPr>
            <w:r>
              <w:rPr>
                <w:rFonts w:eastAsia="Arial" w:cs="Arial"/>
              </w:rPr>
              <w:t>Income apportionment and debt pause</w:t>
            </w:r>
          </w:p>
        </w:tc>
        <w:tc>
          <w:tcPr>
            <w:tcW w:w="771" w:type="pct"/>
            <w:shd w:val="clear" w:color="auto" w:fill="FFFFFF" w:themeFill="background1"/>
            <w:noWrap/>
          </w:tcPr>
          <w:p w14:paraId="5DAD092C" w14:textId="77777777" w:rsidR="004D0F65" w:rsidRPr="00F734D4" w:rsidRDefault="004D0F65" w:rsidP="00042053">
            <w:pPr>
              <w:pStyle w:val="TableTextLeft"/>
              <w:rPr>
                <w:bCs/>
              </w:rPr>
            </w:pPr>
            <w:r>
              <w:rPr>
                <w:bCs/>
              </w:rPr>
              <w:t>Unchanged</w:t>
            </w:r>
          </w:p>
        </w:tc>
      </w:tr>
      <w:tr w:rsidR="004D0F65" w:rsidRPr="00F734D4" w14:paraId="3A262901" w14:textId="77777777" w:rsidTr="00FF4B0A">
        <w:trPr>
          <w:trHeight w:val="228"/>
        </w:trPr>
        <w:tc>
          <w:tcPr>
            <w:tcW w:w="4229" w:type="pct"/>
            <w:shd w:val="clear" w:color="auto" w:fill="E6F2FF"/>
            <w:noWrap/>
          </w:tcPr>
          <w:p w14:paraId="5977B7D2" w14:textId="77777777" w:rsidR="004D0F65" w:rsidRPr="00F734D4" w:rsidRDefault="004D0F65" w:rsidP="00042053">
            <w:pPr>
              <w:pStyle w:val="TableColumnHeadingLeft"/>
              <w:rPr>
                <w:rFonts w:eastAsia="Arial"/>
              </w:rPr>
            </w:pPr>
            <w:r w:rsidRPr="00F734D4">
              <w:rPr>
                <w:rFonts w:eastAsia="Arial"/>
              </w:rPr>
              <w:t>Contingent asset – quantifiable</w:t>
            </w:r>
          </w:p>
        </w:tc>
        <w:tc>
          <w:tcPr>
            <w:tcW w:w="771" w:type="pct"/>
            <w:shd w:val="clear" w:color="auto" w:fill="E6F2FF"/>
            <w:noWrap/>
          </w:tcPr>
          <w:p w14:paraId="60D3D884" w14:textId="77777777" w:rsidR="004D0F65" w:rsidRPr="00F734D4" w:rsidRDefault="004D0F65" w:rsidP="00042053">
            <w:pPr>
              <w:pStyle w:val="TableTextLeft"/>
            </w:pPr>
          </w:p>
        </w:tc>
      </w:tr>
      <w:tr w:rsidR="004D0F65" w:rsidRPr="00F734D4" w14:paraId="20E6EDBB" w14:textId="77777777" w:rsidTr="00FF4B0A">
        <w:trPr>
          <w:trHeight w:val="228"/>
        </w:trPr>
        <w:tc>
          <w:tcPr>
            <w:tcW w:w="4229" w:type="pct"/>
            <w:shd w:val="clear" w:color="auto" w:fill="FFFFFF" w:themeFill="background1"/>
            <w:noWrap/>
          </w:tcPr>
          <w:p w14:paraId="64FFD82A" w14:textId="77777777" w:rsidR="004D0F65" w:rsidRPr="00F734D4" w:rsidRDefault="004D0F65" w:rsidP="00042053">
            <w:pPr>
              <w:pStyle w:val="TableTextLeft-Indent"/>
              <w:rPr>
                <w:rFonts w:eastAsia="Arial" w:cs="Arial"/>
                <w:b/>
                <w:bCs/>
              </w:rPr>
            </w:pPr>
            <w:r w:rsidRPr="00F734D4">
              <w:t>National Redress Scheme</w:t>
            </w:r>
          </w:p>
        </w:tc>
        <w:tc>
          <w:tcPr>
            <w:tcW w:w="771" w:type="pct"/>
            <w:shd w:val="clear" w:color="auto" w:fill="FFFFFF" w:themeFill="background1"/>
            <w:noWrap/>
          </w:tcPr>
          <w:p w14:paraId="4614A411" w14:textId="77777777" w:rsidR="004D0F65" w:rsidRPr="00F734D4" w:rsidRDefault="004D0F65" w:rsidP="00042053">
            <w:pPr>
              <w:pStyle w:val="TableTextLeft"/>
              <w:rPr>
                <w:bCs/>
              </w:rPr>
            </w:pPr>
            <w:r w:rsidRPr="00F734D4">
              <w:t>Modified</w:t>
            </w:r>
          </w:p>
        </w:tc>
      </w:tr>
      <w:tr w:rsidR="004D0F65" w:rsidRPr="00F734D4" w14:paraId="126BDC6D" w14:textId="77777777" w:rsidTr="00FF4B0A">
        <w:trPr>
          <w:trHeight w:val="228"/>
        </w:trPr>
        <w:tc>
          <w:tcPr>
            <w:tcW w:w="4229" w:type="pct"/>
            <w:shd w:val="clear" w:color="auto" w:fill="E6F2FF"/>
            <w:noWrap/>
          </w:tcPr>
          <w:p w14:paraId="563AD255" w14:textId="77777777" w:rsidR="004D0F65" w:rsidRPr="00F734D4" w:rsidRDefault="004D0F65" w:rsidP="00042053">
            <w:pPr>
              <w:pStyle w:val="TableColumnHeadingLeft"/>
            </w:pPr>
            <w:r w:rsidRPr="00F734D4">
              <w:t>Treasury</w:t>
            </w:r>
          </w:p>
        </w:tc>
        <w:tc>
          <w:tcPr>
            <w:tcW w:w="771" w:type="pct"/>
            <w:shd w:val="clear" w:color="auto" w:fill="E6F2FF"/>
            <w:noWrap/>
          </w:tcPr>
          <w:p w14:paraId="29A3F7F3" w14:textId="77777777" w:rsidR="004D0F65" w:rsidRPr="00F734D4" w:rsidRDefault="004D0F65" w:rsidP="00042053">
            <w:pPr>
              <w:pStyle w:val="TableColumnHeadingLeft"/>
            </w:pPr>
            <w:r w:rsidRPr="00F734D4">
              <w:t>Status</w:t>
            </w:r>
          </w:p>
        </w:tc>
      </w:tr>
      <w:tr w:rsidR="004D0F65" w:rsidRPr="00F734D4" w14:paraId="484D994E" w14:textId="77777777" w:rsidTr="00FF4B0A">
        <w:trPr>
          <w:trHeight w:val="228"/>
        </w:trPr>
        <w:tc>
          <w:tcPr>
            <w:tcW w:w="4229" w:type="pct"/>
            <w:shd w:val="clear" w:color="auto" w:fill="E6F2FF"/>
            <w:noWrap/>
          </w:tcPr>
          <w:p w14:paraId="4EF40F73" w14:textId="77777777" w:rsidR="004D0F65" w:rsidRPr="00F734D4" w:rsidRDefault="004D0F65" w:rsidP="00042053">
            <w:pPr>
              <w:pStyle w:val="TableColumnHeadingLeft"/>
            </w:pPr>
            <w:r w:rsidRPr="00F734D4">
              <w:rPr>
                <w:rFonts w:eastAsia="Arial"/>
              </w:rPr>
              <w:t xml:space="preserve">Significant but remote contingencies </w:t>
            </w:r>
          </w:p>
        </w:tc>
        <w:tc>
          <w:tcPr>
            <w:tcW w:w="771" w:type="pct"/>
            <w:shd w:val="clear" w:color="auto" w:fill="E6F2FF"/>
            <w:noWrap/>
          </w:tcPr>
          <w:p w14:paraId="04017E0E" w14:textId="77777777" w:rsidR="004D0F65" w:rsidRPr="00F734D4" w:rsidRDefault="004D0F65" w:rsidP="00042053">
            <w:pPr>
              <w:pStyle w:val="TableColumnHeadingRight"/>
            </w:pPr>
          </w:p>
        </w:tc>
      </w:tr>
      <w:tr w:rsidR="004D0F65" w:rsidRPr="00F734D4" w14:paraId="0FB5CAAA" w14:textId="77777777" w:rsidTr="00FF4B0A">
        <w:trPr>
          <w:trHeight w:val="228"/>
        </w:trPr>
        <w:tc>
          <w:tcPr>
            <w:tcW w:w="4229" w:type="pct"/>
            <w:shd w:val="clear" w:color="auto" w:fill="auto"/>
            <w:noWrap/>
          </w:tcPr>
          <w:p w14:paraId="63FF2458" w14:textId="77777777" w:rsidR="004D0F65" w:rsidRPr="00F734D4" w:rsidRDefault="004D0F65" w:rsidP="00042053">
            <w:pPr>
              <w:pStyle w:val="TableTextLeft-Indent"/>
            </w:pPr>
            <w:r w:rsidRPr="00F734D4">
              <w:t>Asbestos Injuries Compensation Fund</w:t>
            </w:r>
          </w:p>
        </w:tc>
        <w:tc>
          <w:tcPr>
            <w:tcW w:w="771" w:type="pct"/>
            <w:shd w:val="clear" w:color="auto" w:fill="auto"/>
            <w:noWrap/>
          </w:tcPr>
          <w:p w14:paraId="4E222A18" w14:textId="77777777" w:rsidR="004D0F65" w:rsidRPr="00F734D4" w:rsidRDefault="004D0F65" w:rsidP="00042053">
            <w:pPr>
              <w:pStyle w:val="TableTextLeft"/>
            </w:pPr>
            <w:r w:rsidRPr="00F734D4">
              <w:t>Unchanged</w:t>
            </w:r>
          </w:p>
        </w:tc>
      </w:tr>
      <w:tr w:rsidR="004D0F65" w:rsidRPr="00F734D4" w14:paraId="6C96E635" w14:textId="77777777" w:rsidTr="00FF4B0A">
        <w:trPr>
          <w:trHeight w:val="228"/>
        </w:trPr>
        <w:tc>
          <w:tcPr>
            <w:tcW w:w="4229" w:type="pct"/>
            <w:shd w:val="clear" w:color="auto" w:fill="auto"/>
            <w:noWrap/>
          </w:tcPr>
          <w:p w14:paraId="4C2C9D78" w14:textId="77777777" w:rsidR="004D0F65" w:rsidRPr="00F734D4" w:rsidRDefault="004D0F65" w:rsidP="00042053">
            <w:pPr>
              <w:pStyle w:val="TableTextLeft-Indent"/>
            </w:pPr>
            <w:r w:rsidRPr="00F734D4">
              <w:t>Financial Claims Scheme</w:t>
            </w:r>
          </w:p>
        </w:tc>
        <w:tc>
          <w:tcPr>
            <w:tcW w:w="771" w:type="pct"/>
            <w:shd w:val="clear" w:color="auto" w:fill="auto"/>
            <w:noWrap/>
          </w:tcPr>
          <w:p w14:paraId="66A1E9E5" w14:textId="77777777" w:rsidR="004D0F65" w:rsidRPr="00F734D4" w:rsidRDefault="004D0F65" w:rsidP="00042053">
            <w:pPr>
              <w:pStyle w:val="TableTextLeft"/>
            </w:pPr>
            <w:r>
              <w:t>Unchanged</w:t>
            </w:r>
          </w:p>
        </w:tc>
      </w:tr>
      <w:tr w:rsidR="004D0F65" w:rsidRPr="00F734D4" w14:paraId="6E800797" w14:textId="77777777" w:rsidTr="00FF4B0A">
        <w:trPr>
          <w:trHeight w:val="228"/>
        </w:trPr>
        <w:tc>
          <w:tcPr>
            <w:tcW w:w="4229" w:type="pct"/>
            <w:shd w:val="clear" w:color="auto" w:fill="auto"/>
            <w:noWrap/>
          </w:tcPr>
          <w:p w14:paraId="740A6E4B" w14:textId="77777777" w:rsidR="004D0F65" w:rsidRPr="00F734D4" w:rsidRDefault="004D0F65" w:rsidP="00042053">
            <w:pPr>
              <w:pStyle w:val="TableTextLeft-Indent"/>
            </w:pPr>
            <w:r w:rsidRPr="00F734D4">
              <w:t xml:space="preserve">Guarantee for </w:t>
            </w:r>
            <w:r>
              <w:t>Housing Australia</w:t>
            </w:r>
          </w:p>
        </w:tc>
        <w:tc>
          <w:tcPr>
            <w:tcW w:w="771" w:type="pct"/>
            <w:shd w:val="clear" w:color="auto" w:fill="auto"/>
            <w:noWrap/>
          </w:tcPr>
          <w:p w14:paraId="4F363AF1" w14:textId="77777777" w:rsidR="004D0F65" w:rsidRPr="00F734D4" w:rsidRDefault="004D0F65" w:rsidP="00042053">
            <w:pPr>
              <w:pStyle w:val="TableTextLeft"/>
            </w:pPr>
            <w:r>
              <w:t>Modified</w:t>
            </w:r>
          </w:p>
        </w:tc>
      </w:tr>
      <w:tr w:rsidR="004D0F65" w:rsidRPr="00F734D4" w14:paraId="244DC56E" w14:textId="77777777" w:rsidTr="00FF4B0A">
        <w:trPr>
          <w:trHeight w:val="228"/>
        </w:trPr>
        <w:tc>
          <w:tcPr>
            <w:tcW w:w="4229" w:type="pct"/>
            <w:shd w:val="clear" w:color="auto" w:fill="auto"/>
            <w:noWrap/>
          </w:tcPr>
          <w:p w14:paraId="40B0161B" w14:textId="77777777" w:rsidR="004D0F65" w:rsidRPr="00F734D4" w:rsidRDefault="004D0F65" w:rsidP="00042053">
            <w:pPr>
              <w:pStyle w:val="TableTextLeft-Indent"/>
            </w:pPr>
            <w:r w:rsidRPr="00F734D4">
              <w:t xml:space="preserve">Guarantees under the </w:t>
            </w:r>
            <w:r w:rsidRPr="00F734D4">
              <w:rPr>
                <w:i/>
              </w:rPr>
              <w:t>Commonwealth Bank Sale Act 1995</w:t>
            </w:r>
          </w:p>
        </w:tc>
        <w:tc>
          <w:tcPr>
            <w:tcW w:w="771" w:type="pct"/>
            <w:shd w:val="clear" w:color="auto" w:fill="auto"/>
            <w:noWrap/>
          </w:tcPr>
          <w:p w14:paraId="3E4CD32A" w14:textId="77777777" w:rsidR="004D0F65" w:rsidRPr="00F734D4" w:rsidRDefault="004D0F65" w:rsidP="00042053">
            <w:pPr>
              <w:pStyle w:val="TableTextLeft"/>
            </w:pPr>
            <w:r w:rsidRPr="00F734D4">
              <w:t>Modified</w:t>
            </w:r>
          </w:p>
        </w:tc>
      </w:tr>
      <w:tr w:rsidR="004D0F65" w:rsidRPr="00F734D4" w14:paraId="1238DE0C" w14:textId="77777777" w:rsidTr="00FF4B0A">
        <w:trPr>
          <w:trHeight w:val="228"/>
        </w:trPr>
        <w:tc>
          <w:tcPr>
            <w:tcW w:w="4229" w:type="pct"/>
            <w:shd w:val="clear" w:color="auto" w:fill="auto"/>
            <w:noWrap/>
          </w:tcPr>
          <w:p w14:paraId="569BD843" w14:textId="77777777" w:rsidR="004D0F65" w:rsidRPr="00F734D4" w:rsidRDefault="004D0F65" w:rsidP="00042053">
            <w:pPr>
              <w:pStyle w:val="TableTextLeft-Indent"/>
            </w:pPr>
            <w:r w:rsidRPr="00F734D4">
              <w:t>Reserve Bank of Australia – Guarantee</w:t>
            </w:r>
          </w:p>
        </w:tc>
        <w:tc>
          <w:tcPr>
            <w:tcW w:w="771" w:type="pct"/>
            <w:shd w:val="clear" w:color="auto" w:fill="auto"/>
            <w:noWrap/>
          </w:tcPr>
          <w:p w14:paraId="33C4713C" w14:textId="77777777" w:rsidR="004D0F65" w:rsidRPr="00F734D4" w:rsidRDefault="004D0F65" w:rsidP="00042053">
            <w:pPr>
              <w:pStyle w:val="TableTextLeft"/>
            </w:pPr>
            <w:r>
              <w:t>Modified</w:t>
            </w:r>
          </w:p>
        </w:tc>
      </w:tr>
      <w:tr w:rsidR="004D0F65" w:rsidRPr="00F734D4" w14:paraId="180678F1" w14:textId="77777777" w:rsidTr="00FF4B0A">
        <w:trPr>
          <w:trHeight w:val="69"/>
        </w:trPr>
        <w:tc>
          <w:tcPr>
            <w:tcW w:w="4229" w:type="pct"/>
            <w:shd w:val="clear" w:color="auto" w:fill="E6F2FF"/>
            <w:noWrap/>
          </w:tcPr>
          <w:p w14:paraId="2AAB1E45" w14:textId="77777777" w:rsidR="004D0F65" w:rsidRPr="00F734D4" w:rsidRDefault="004D0F65" w:rsidP="00042053">
            <w:pPr>
              <w:pStyle w:val="TableColumnHeadingLeft"/>
              <w:rPr>
                <w:rFonts w:eastAsia="Calibri"/>
              </w:rPr>
            </w:pPr>
            <w:r w:rsidRPr="00F734D4">
              <w:rPr>
                <w:rFonts w:eastAsia="Arial"/>
              </w:rPr>
              <w:t>Contingent liabilities – unquantifiable</w:t>
            </w:r>
          </w:p>
        </w:tc>
        <w:tc>
          <w:tcPr>
            <w:tcW w:w="771" w:type="pct"/>
            <w:shd w:val="clear" w:color="auto" w:fill="E6F2FF"/>
            <w:noWrap/>
          </w:tcPr>
          <w:p w14:paraId="01B5017B" w14:textId="77777777" w:rsidR="004D0F65" w:rsidRPr="00F734D4" w:rsidRDefault="004D0F65" w:rsidP="00042053">
            <w:pPr>
              <w:pStyle w:val="TableTextLeft"/>
            </w:pPr>
          </w:p>
        </w:tc>
      </w:tr>
      <w:tr w:rsidR="004D0F65" w:rsidRPr="00F734D4" w14:paraId="0E2536DF" w14:textId="77777777" w:rsidTr="00FF4B0A">
        <w:trPr>
          <w:trHeight w:val="228"/>
        </w:trPr>
        <w:tc>
          <w:tcPr>
            <w:tcW w:w="4229" w:type="pct"/>
            <w:shd w:val="clear" w:color="auto" w:fill="auto"/>
            <w:noWrap/>
          </w:tcPr>
          <w:p w14:paraId="4B5A844D" w14:textId="77777777" w:rsidR="004D0F65" w:rsidRPr="00F734D4" w:rsidRDefault="004D0F65" w:rsidP="00042053">
            <w:pPr>
              <w:pStyle w:val="TableTextLeft-Indent"/>
            </w:pPr>
            <w:r w:rsidRPr="00F734D4">
              <w:t>Compensation scheme of last resort</w:t>
            </w:r>
          </w:p>
        </w:tc>
        <w:tc>
          <w:tcPr>
            <w:tcW w:w="771" w:type="pct"/>
            <w:shd w:val="clear" w:color="auto" w:fill="auto"/>
            <w:noWrap/>
          </w:tcPr>
          <w:p w14:paraId="6A926B24" w14:textId="77777777" w:rsidR="004D0F65" w:rsidRPr="00F734D4" w:rsidRDefault="004D0F65" w:rsidP="00042053">
            <w:pPr>
              <w:pStyle w:val="TableTextLeft"/>
            </w:pPr>
            <w:r>
              <w:t>Unchanged</w:t>
            </w:r>
          </w:p>
        </w:tc>
      </w:tr>
      <w:tr w:rsidR="004D0F65" w:rsidRPr="00F734D4" w14:paraId="133BBCB7" w14:textId="77777777" w:rsidTr="00FF4B0A">
        <w:trPr>
          <w:trHeight w:val="228"/>
        </w:trPr>
        <w:tc>
          <w:tcPr>
            <w:tcW w:w="4229" w:type="pct"/>
            <w:shd w:val="clear" w:color="auto" w:fill="auto"/>
            <w:noWrap/>
          </w:tcPr>
          <w:p w14:paraId="44B6C6FA" w14:textId="77777777" w:rsidR="004D0F65" w:rsidRPr="00F734D4" w:rsidRDefault="004D0F65" w:rsidP="00042053">
            <w:pPr>
              <w:pStyle w:val="TableTextLeft-Indent"/>
            </w:pPr>
            <w:r w:rsidRPr="00F734D4">
              <w:t>Establishment of a cyclone and related flooding reinsurance pool</w:t>
            </w:r>
          </w:p>
        </w:tc>
        <w:tc>
          <w:tcPr>
            <w:tcW w:w="771" w:type="pct"/>
            <w:shd w:val="clear" w:color="auto" w:fill="auto"/>
            <w:noWrap/>
          </w:tcPr>
          <w:p w14:paraId="32FC46FA" w14:textId="77777777" w:rsidR="004D0F65" w:rsidRPr="00F734D4" w:rsidDel="005573C6" w:rsidRDefault="004D0F65" w:rsidP="00042053">
            <w:pPr>
              <w:pStyle w:val="TableTextLeft"/>
              <w:rPr>
                <w:rFonts w:eastAsia="Arial" w:cs="Arial"/>
              </w:rPr>
            </w:pPr>
            <w:r w:rsidRPr="00F734D4">
              <w:rPr>
                <w:rFonts w:eastAsia="Arial" w:cs="Arial"/>
              </w:rPr>
              <w:t>Unchanged</w:t>
            </w:r>
          </w:p>
        </w:tc>
      </w:tr>
      <w:tr w:rsidR="004D0F65" w:rsidRPr="00F734D4" w14:paraId="1ED6D7B5" w14:textId="77777777" w:rsidTr="00FF4B0A">
        <w:trPr>
          <w:trHeight w:val="228"/>
        </w:trPr>
        <w:tc>
          <w:tcPr>
            <w:tcW w:w="4229" w:type="pct"/>
            <w:shd w:val="clear" w:color="auto" w:fill="auto"/>
            <w:noWrap/>
          </w:tcPr>
          <w:p w14:paraId="75C36E6D" w14:textId="77777777" w:rsidR="004D0F65" w:rsidRPr="00F734D4" w:rsidRDefault="004D0F65" w:rsidP="00042053">
            <w:pPr>
              <w:pStyle w:val="TableTextLeft-Indent"/>
              <w:rPr>
                <w:rFonts w:eastAsia="Arial"/>
              </w:rPr>
            </w:pPr>
            <w:r w:rsidRPr="00F734D4">
              <w:t>Government guarantees for housing</w:t>
            </w:r>
          </w:p>
        </w:tc>
        <w:tc>
          <w:tcPr>
            <w:tcW w:w="771" w:type="pct"/>
            <w:shd w:val="clear" w:color="auto" w:fill="auto"/>
            <w:noWrap/>
          </w:tcPr>
          <w:p w14:paraId="65704368" w14:textId="77777777" w:rsidR="004D0F65" w:rsidRPr="00F734D4" w:rsidRDefault="004D0F65" w:rsidP="00042053">
            <w:pPr>
              <w:pStyle w:val="TableTextLeft"/>
              <w:rPr>
                <w:rFonts w:eastAsia="Arial" w:cs="Arial"/>
              </w:rPr>
            </w:pPr>
            <w:r>
              <w:t>Unchanged</w:t>
            </w:r>
          </w:p>
        </w:tc>
      </w:tr>
      <w:tr w:rsidR="004D0F65" w:rsidRPr="00F734D4" w14:paraId="548FC2EF" w14:textId="77777777" w:rsidTr="00FF4B0A">
        <w:trPr>
          <w:trHeight w:val="228"/>
        </w:trPr>
        <w:tc>
          <w:tcPr>
            <w:tcW w:w="4229" w:type="pct"/>
            <w:shd w:val="clear" w:color="auto" w:fill="auto"/>
            <w:noWrap/>
          </w:tcPr>
          <w:p w14:paraId="331DF5F3" w14:textId="294DA121" w:rsidR="004D0F65" w:rsidRPr="00F734D4" w:rsidRDefault="004D0F65" w:rsidP="00042053">
            <w:pPr>
              <w:pStyle w:val="TableTextLeft-Indent"/>
            </w:pPr>
            <w:r w:rsidRPr="00F734D4">
              <w:t>Indemnities for specialised external advisers during the COVID</w:t>
            </w:r>
            <w:r w:rsidR="00D737F9">
              <w:noBreakHyphen/>
            </w:r>
            <w:r w:rsidRPr="00F734D4">
              <w:t>19 pandemic</w:t>
            </w:r>
          </w:p>
        </w:tc>
        <w:tc>
          <w:tcPr>
            <w:tcW w:w="771" w:type="pct"/>
            <w:shd w:val="clear" w:color="auto" w:fill="auto"/>
            <w:noWrap/>
          </w:tcPr>
          <w:p w14:paraId="1F7131CA" w14:textId="77777777" w:rsidR="004D0F65" w:rsidRPr="00F734D4" w:rsidRDefault="004D0F65" w:rsidP="00042053">
            <w:pPr>
              <w:pStyle w:val="TableTextLeft"/>
              <w:rPr>
                <w:rFonts w:eastAsia="Arial" w:cs="Arial"/>
              </w:rPr>
            </w:pPr>
            <w:r w:rsidRPr="00F734D4">
              <w:rPr>
                <w:rFonts w:eastAsia="Arial" w:cs="Arial"/>
              </w:rPr>
              <w:t>Unchanged</w:t>
            </w:r>
          </w:p>
        </w:tc>
      </w:tr>
      <w:tr w:rsidR="004D0F65" w:rsidRPr="00F734D4" w14:paraId="3343C0FD" w14:textId="77777777" w:rsidTr="00FF4B0A">
        <w:trPr>
          <w:trHeight w:val="228"/>
        </w:trPr>
        <w:tc>
          <w:tcPr>
            <w:tcW w:w="4229" w:type="pct"/>
            <w:shd w:val="clear" w:color="auto" w:fill="auto"/>
            <w:noWrap/>
          </w:tcPr>
          <w:p w14:paraId="2A363FA4" w14:textId="7E8D9BD5" w:rsidR="004D0F65" w:rsidRPr="00F734D4" w:rsidRDefault="004D0F65" w:rsidP="00042053">
            <w:pPr>
              <w:pStyle w:val="TableTextLeft-Indent"/>
            </w:pPr>
            <w:r w:rsidRPr="00F734D4">
              <w:t>Small and Medium Enterprise (SME) Guarantee Scheme and SME</w:t>
            </w:r>
            <w:r w:rsidR="00176A99">
              <w:t> </w:t>
            </w:r>
            <w:r w:rsidRPr="00F734D4">
              <w:t>Recovery</w:t>
            </w:r>
            <w:r w:rsidR="00176A99">
              <w:t> </w:t>
            </w:r>
            <w:r w:rsidRPr="00F734D4">
              <w:t>Loan</w:t>
            </w:r>
            <w:r w:rsidR="00176A99">
              <w:t> </w:t>
            </w:r>
            <w:r w:rsidRPr="00F734D4">
              <w:t>Scheme</w:t>
            </w:r>
          </w:p>
        </w:tc>
        <w:tc>
          <w:tcPr>
            <w:tcW w:w="771" w:type="pct"/>
            <w:shd w:val="clear" w:color="auto" w:fill="auto"/>
            <w:noWrap/>
          </w:tcPr>
          <w:p w14:paraId="7E3430DE" w14:textId="77777777" w:rsidR="004D0F65" w:rsidRPr="00F734D4" w:rsidRDefault="004D0F65" w:rsidP="00042053">
            <w:pPr>
              <w:pStyle w:val="TableTextLeft"/>
            </w:pPr>
            <w:r w:rsidRPr="00F734D4">
              <w:t>Unchanged</w:t>
            </w:r>
          </w:p>
        </w:tc>
      </w:tr>
      <w:tr w:rsidR="004D0F65" w:rsidRPr="00F734D4" w14:paraId="08093E9A" w14:textId="77777777" w:rsidTr="00FF4B0A">
        <w:trPr>
          <w:trHeight w:val="228"/>
        </w:trPr>
        <w:tc>
          <w:tcPr>
            <w:tcW w:w="4229" w:type="pct"/>
            <w:shd w:val="clear" w:color="auto" w:fill="auto"/>
            <w:noWrap/>
          </w:tcPr>
          <w:p w14:paraId="494F8BFE" w14:textId="77777777" w:rsidR="004D0F65" w:rsidRPr="00F734D4" w:rsidRDefault="004D0F65" w:rsidP="00042053">
            <w:pPr>
              <w:pStyle w:val="TableTextLeft-Indent"/>
            </w:pPr>
            <w:r w:rsidRPr="00F734D4">
              <w:t xml:space="preserve">Terrorism insurance – commercial cover </w:t>
            </w:r>
          </w:p>
        </w:tc>
        <w:tc>
          <w:tcPr>
            <w:tcW w:w="771" w:type="pct"/>
            <w:shd w:val="clear" w:color="auto" w:fill="auto"/>
            <w:noWrap/>
          </w:tcPr>
          <w:p w14:paraId="0BBA6033" w14:textId="77777777" w:rsidR="004D0F65" w:rsidRPr="00F734D4" w:rsidRDefault="004D0F65" w:rsidP="00042053">
            <w:pPr>
              <w:pStyle w:val="TableTextLeft"/>
            </w:pPr>
            <w:r w:rsidRPr="00F734D4">
              <w:t>Unchanged</w:t>
            </w:r>
          </w:p>
        </w:tc>
      </w:tr>
    </w:tbl>
    <w:p w14:paraId="65B344A7" w14:textId="77777777" w:rsidR="004D0F65" w:rsidRPr="006460F9" w:rsidRDefault="004D0F65" w:rsidP="004D0F65">
      <w:r w:rsidRPr="006460F9">
        <w:br w:type="page"/>
      </w:r>
    </w:p>
    <w:p w14:paraId="295DA90A" w14:textId="77777777" w:rsidR="004D0F65" w:rsidRPr="00F734D4" w:rsidRDefault="004D0F65" w:rsidP="004D0F65">
      <w:pPr>
        <w:pStyle w:val="TableHeadingcontinued"/>
        <w:rPr>
          <w:rFonts w:eastAsia="Arial"/>
        </w:rPr>
      </w:pPr>
      <w:r w:rsidRPr="00F734D4">
        <w:rPr>
          <w:rFonts w:eastAsia="Arial"/>
        </w:rPr>
        <w:lastRenderedPageBreak/>
        <w:t xml:space="preserve">Table </w:t>
      </w:r>
      <w:r>
        <w:rPr>
          <w:rFonts w:eastAsia="Arial"/>
        </w:rPr>
        <w:t>9</w:t>
      </w:r>
      <w:r w:rsidRPr="00D13C64">
        <w:rPr>
          <w:rFonts w:eastAsia="Arial"/>
        </w:rPr>
        <w:t>.2: Summary</w:t>
      </w:r>
      <w:r w:rsidRPr="00C07FB5">
        <w:rPr>
          <w:rFonts w:eastAsia="Arial"/>
        </w:rPr>
        <w:t xml:space="preserve"> of </w:t>
      </w:r>
      <w:r>
        <w:rPr>
          <w:rFonts w:eastAsia="Arial"/>
        </w:rPr>
        <w:t xml:space="preserve">fiscal risks, </w:t>
      </w:r>
      <w:r w:rsidRPr="00C07FB5">
        <w:rPr>
          <w:rFonts w:eastAsia="Arial"/>
        </w:rPr>
        <w:t>contingent liabilities and contingent assets in the Statement of Risks</w:t>
      </w:r>
      <w:r w:rsidRPr="00F734D4">
        <w:rPr>
          <w:rFonts w:eastAsia="Arial"/>
          <w:vertAlign w:val="superscript"/>
        </w:rPr>
        <w:t>(a)</w:t>
      </w:r>
      <w:r w:rsidRPr="00F734D4">
        <w:rPr>
          <w:rFonts w:eastAsia="Arial"/>
        </w:rPr>
        <w:t xml:space="preserve">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6522"/>
        <w:gridCol w:w="1189"/>
      </w:tblGrid>
      <w:tr w:rsidR="004D0F65" w:rsidRPr="00F734D4" w14:paraId="47DA89B2" w14:textId="77777777" w:rsidTr="00FF4B0A">
        <w:trPr>
          <w:trHeight w:val="228"/>
        </w:trPr>
        <w:tc>
          <w:tcPr>
            <w:tcW w:w="4229" w:type="pct"/>
            <w:shd w:val="clear" w:color="auto" w:fill="E6F2FF"/>
            <w:noWrap/>
          </w:tcPr>
          <w:p w14:paraId="092AAD77" w14:textId="77777777" w:rsidR="004D0F65" w:rsidRPr="00F734D4" w:rsidRDefault="004D0F65" w:rsidP="00042053">
            <w:pPr>
              <w:pStyle w:val="TableColumnHeadingLeft"/>
            </w:pPr>
            <w:r w:rsidRPr="00F734D4">
              <w:t>Treasury (continued)</w:t>
            </w:r>
          </w:p>
        </w:tc>
        <w:tc>
          <w:tcPr>
            <w:tcW w:w="771" w:type="pct"/>
            <w:shd w:val="clear" w:color="auto" w:fill="E6F2FF"/>
            <w:noWrap/>
          </w:tcPr>
          <w:p w14:paraId="454D76FC" w14:textId="77777777" w:rsidR="004D0F65" w:rsidRPr="00F734D4" w:rsidRDefault="004D0F65" w:rsidP="00042053">
            <w:pPr>
              <w:pStyle w:val="TableColumnHeadingLeft"/>
            </w:pPr>
            <w:r w:rsidRPr="00F734D4">
              <w:t>Status</w:t>
            </w:r>
          </w:p>
        </w:tc>
      </w:tr>
      <w:tr w:rsidR="004D0F65" w:rsidRPr="00F734D4" w14:paraId="3A5FD343" w14:textId="77777777" w:rsidTr="00FF4B0A">
        <w:trPr>
          <w:trHeight w:val="228"/>
        </w:trPr>
        <w:tc>
          <w:tcPr>
            <w:tcW w:w="4229" w:type="pct"/>
            <w:shd w:val="clear" w:color="auto" w:fill="E6F2FF"/>
            <w:noWrap/>
          </w:tcPr>
          <w:p w14:paraId="25E15DF0" w14:textId="77777777" w:rsidR="004D0F65" w:rsidRPr="00F734D4" w:rsidRDefault="004D0F65" w:rsidP="00042053">
            <w:pPr>
              <w:pStyle w:val="TableColumnHeadingLeft"/>
              <w:rPr>
                <w:rFonts w:eastAsia="Calibri"/>
              </w:rPr>
            </w:pPr>
            <w:r w:rsidRPr="00F734D4">
              <w:rPr>
                <w:rFonts w:eastAsia="Arial"/>
              </w:rPr>
              <w:t>Contingent liabilities – quantifiable</w:t>
            </w:r>
          </w:p>
        </w:tc>
        <w:tc>
          <w:tcPr>
            <w:tcW w:w="771" w:type="pct"/>
            <w:shd w:val="clear" w:color="auto" w:fill="E6F2FF"/>
            <w:noWrap/>
          </w:tcPr>
          <w:p w14:paraId="51DD85B8" w14:textId="77777777" w:rsidR="004D0F65" w:rsidRPr="00F734D4" w:rsidRDefault="004D0F65" w:rsidP="00042053">
            <w:pPr>
              <w:pStyle w:val="TableColumnHeadingRight"/>
            </w:pPr>
          </w:p>
        </w:tc>
      </w:tr>
      <w:tr w:rsidR="004D0F65" w:rsidRPr="00F734D4" w14:paraId="0753E26B" w14:textId="77777777" w:rsidTr="00FF4B0A">
        <w:trPr>
          <w:trHeight w:val="228"/>
        </w:trPr>
        <w:tc>
          <w:tcPr>
            <w:tcW w:w="4229" w:type="pct"/>
            <w:shd w:val="clear" w:color="auto" w:fill="auto"/>
            <w:noWrap/>
          </w:tcPr>
          <w:p w14:paraId="09388F01" w14:textId="77777777" w:rsidR="004D0F65" w:rsidRPr="00F734D4" w:rsidRDefault="004D0F65" w:rsidP="00042053">
            <w:pPr>
              <w:pStyle w:val="TableTextLeft-Indent"/>
              <w:rPr>
                <w:rFonts w:eastAsia="Arial"/>
              </w:rPr>
            </w:pPr>
            <w:r w:rsidRPr="00F734D4">
              <w:t>Australian Taxation Office – tax disputes</w:t>
            </w:r>
          </w:p>
        </w:tc>
        <w:tc>
          <w:tcPr>
            <w:tcW w:w="771" w:type="pct"/>
            <w:shd w:val="clear" w:color="auto" w:fill="auto"/>
            <w:noWrap/>
          </w:tcPr>
          <w:p w14:paraId="59D2CEC9" w14:textId="77777777" w:rsidR="004D0F65" w:rsidRPr="00F734D4" w:rsidRDefault="004D0F65" w:rsidP="00042053">
            <w:pPr>
              <w:pStyle w:val="TableTextLeft"/>
            </w:pPr>
            <w:r>
              <w:t>Modified</w:t>
            </w:r>
          </w:p>
        </w:tc>
      </w:tr>
      <w:tr w:rsidR="004D0F65" w:rsidRPr="00F734D4" w14:paraId="208DEAD2" w14:textId="77777777" w:rsidTr="00FF4B0A">
        <w:trPr>
          <w:trHeight w:val="228"/>
        </w:trPr>
        <w:tc>
          <w:tcPr>
            <w:tcW w:w="4229" w:type="pct"/>
            <w:shd w:val="clear" w:color="auto" w:fill="auto"/>
            <w:noWrap/>
          </w:tcPr>
          <w:p w14:paraId="3821DDD7" w14:textId="77777777" w:rsidR="004D0F65" w:rsidRPr="00F734D4" w:rsidRDefault="004D0F65" w:rsidP="00042053">
            <w:pPr>
              <w:pStyle w:val="TableTextLeft-Indent"/>
            </w:pPr>
            <w:r w:rsidRPr="00F734D4">
              <w:t>International financial institutions – uncalled capital subscriptions</w:t>
            </w:r>
          </w:p>
        </w:tc>
        <w:tc>
          <w:tcPr>
            <w:tcW w:w="771" w:type="pct"/>
            <w:shd w:val="clear" w:color="auto" w:fill="auto"/>
            <w:noWrap/>
          </w:tcPr>
          <w:p w14:paraId="06485913" w14:textId="77777777" w:rsidR="004D0F65" w:rsidRPr="001A4B93" w:rsidDel="00833171" w:rsidRDefault="004D0F65" w:rsidP="00042053">
            <w:pPr>
              <w:pStyle w:val="TableTextLeft"/>
            </w:pPr>
            <w:r w:rsidRPr="001A4B93">
              <w:t>Modified</w:t>
            </w:r>
          </w:p>
        </w:tc>
      </w:tr>
      <w:tr w:rsidR="004D0F65" w:rsidRPr="00F734D4" w14:paraId="3F88E41E" w14:textId="77777777" w:rsidTr="00FF4B0A">
        <w:trPr>
          <w:trHeight w:val="228"/>
        </w:trPr>
        <w:tc>
          <w:tcPr>
            <w:tcW w:w="4229" w:type="pct"/>
            <w:shd w:val="clear" w:color="auto" w:fill="auto"/>
            <w:noWrap/>
          </w:tcPr>
          <w:p w14:paraId="7F76479D" w14:textId="0CC3CC60" w:rsidR="004D0F65" w:rsidRPr="00F734D4" w:rsidRDefault="004D0F65" w:rsidP="00042053">
            <w:pPr>
              <w:pStyle w:val="TableTextLeft-Indent"/>
            </w:pPr>
            <w:r w:rsidRPr="007A0989">
              <w:t xml:space="preserve">International Monetary Fund </w:t>
            </w:r>
            <w:r w:rsidR="006A075F" w:rsidRPr="00F734D4">
              <w:t>–</w:t>
            </w:r>
            <w:r w:rsidRPr="007A0989">
              <w:t xml:space="preserve"> 16th General Review of Quota</w:t>
            </w:r>
          </w:p>
        </w:tc>
        <w:tc>
          <w:tcPr>
            <w:tcW w:w="771" w:type="pct"/>
            <w:shd w:val="clear" w:color="auto" w:fill="auto"/>
            <w:noWrap/>
          </w:tcPr>
          <w:p w14:paraId="77A63D41" w14:textId="77777777" w:rsidR="004D0F65" w:rsidRPr="00D22D4E" w:rsidRDefault="004D0F65" w:rsidP="00042053">
            <w:pPr>
              <w:pStyle w:val="TableTextLeft"/>
            </w:pPr>
            <w:r w:rsidRPr="00D22D4E">
              <w:t>New</w:t>
            </w:r>
          </w:p>
        </w:tc>
      </w:tr>
      <w:tr w:rsidR="004D0F65" w:rsidRPr="00F734D4" w14:paraId="09FB2847" w14:textId="77777777" w:rsidTr="00FF4B0A">
        <w:trPr>
          <w:trHeight w:val="228"/>
        </w:trPr>
        <w:tc>
          <w:tcPr>
            <w:tcW w:w="4229" w:type="pct"/>
            <w:shd w:val="clear" w:color="auto" w:fill="auto"/>
            <w:noWrap/>
          </w:tcPr>
          <w:p w14:paraId="01A43655" w14:textId="1C32C689" w:rsidR="004D0F65" w:rsidRPr="00F734D4" w:rsidRDefault="004D0F65" w:rsidP="00042053">
            <w:pPr>
              <w:pStyle w:val="TableTextLeft-Indent"/>
            </w:pPr>
            <w:r w:rsidRPr="00F734D4">
              <w:t xml:space="preserve">International Monetary Fund – New Arrangements to Borrow </w:t>
            </w:r>
            <w:r w:rsidR="00207041">
              <w:t>and</w:t>
            </w:r>
            <w:r w:rsidRPr="00F734D4">
              <w:t xml:space="preserve"> Bilateral</w:t>
            </w:r>
            <w:r w:rsidR="00207041">
              <w:t> </w:t>
            </w:r>
            <w:r w:rsidRPr="00F734D4">
              <w:t>Borrowing</w:t>
            </w:r>
            <w:r w:rsidR="00176A99">
              <w:t> </w:t>
            </w:r>
            <w:r w:rsidRPr="00F734D4">
              <w:t>Agreement</w:t>
            </w:r>
          </w:p>
        </w:tc>
        <w:tc>
          <w:tcPr>
            <w:tcW w:w="771" w:type="pct"/>
            <w:shd w:val="clear" w:color="auto" w:fill="auto"/>
            <w:noWrap/>
          </w:tcPr>
          <w:p w14:paraId="13C50FC8" w14:textId="77777777" w:rsidR="004D0F65" w:rsidRPr="00737152" w:rsidRDefault="004D0F65" w:rsidP="00042053">
            <w:pPr>
              <w:pStyle w:val="TableTextLeft"/>
            </w:pPr>
            <w:r w:rsidRPr="00D22D4E">
              <w:t>Modified</w:t>
            </w:r>
          </w:p>
        </w:tc>
      </w:tr>
      <w:tr w:rsidR="004D0F65" w:rsidRPr="00F734D4" w14:paraId="2B041E39" w14:textId="77777777" w:rsidTr="00FF4B0A">
        <w:trPr>
          <w:trHeight w:val="228"/>
        </w:trPr>
        <w:tc>
          <w:tcPr>
            <w:tcW w:w="4229" w:type="pct"/>
            <w:shd w:val="clear" w:color="auto" w:fill="auto"/>
            <w:noWrap/>
          </w:tcPr>
          <w:p w14:paraId="0344E8C0" w14:textId="77777777" w:rsidR="004D0F65" w:rsidRPr="00F734D4" w:rsidRDefault="004D0F65" w:rsidP="00042053">
            <w:pPr>
              <w:pStyle w:val="TableTextLeft-Indent"/>
            </w:pPr>
            <w:r w:rsidRPr="00F734D4">
              <w:t>International Monetary Fund – Poverty Reduction and Growth Trust</w:t>
            </w:r>
          </w:p>
        </w:tc>
        <w:tc>
          <w:tcPr>
            <w:tcW w:w="771" w:type="pct"/>
            <w:shd w:val="clear" w:color="auto" w:fill="auto"/>
            <w:noWrap/>
          </w:tcPr>
          <w:p w14:paraId="05A1CB62" w14:textId="77777777" w:rsidR="004D0F65" w:rsidRPr="00F734D4" w:rsidRDefault="004D0F65" w:rsidP="00042053">
            <w:pPr>
              <w:pStyle w:val="TableTextLeft"/>
            </w:pPr>
            <w:r>
              <w:t>Modified</w:t>
            </w:r>
          </w:p>
        </w:tc>
      </w:tr>
      <w:tr w:rsidR="004D0F65" w:rsidRPr="00F734D4" w14:paraId="352BEEBB" w14:textId="77777777" w:rsidTr="00FF4B0A">
        <w:trPr>
          <w:trHeight w:val="228"/>
        </w:trPr>
        <w:tc>
          <w:tcPr>
            <w:tcW w:w="4229" w:type="pct"/>
            <w:shd w:val="clear" w:color="auto" w:fill="auto"/>
            <w:noWrap/>
          </w:tcPr>
          <w:p w14:paraId="58083897" w14:textId="77777777" w:rsidR="004D0F65" w:rsidRPr="00F734D4" w:rsidRDefault="004D0F65" w:rsidP="00042053">
            <w:pPr>
              <w:pStyle w:val="TableTextLeft-Indent"/>
            </w:pPr>
            <w:r w:rsidRPr="00F734D4">
              <w:t>International Monetary Fund – Resilience and Sustainability Trust</w:t>
            </w:r>
          </w:p>
        </w:tc>
        <w:tc>
          <w:tcPr>
            <w:tcW w:w="771" w:type="pct"/>
            <w:shd w:val="clear" w:color="auto" w:fill="auto"/>
            <w:noWrap/>
          </w:tcPr>
          <w:p w14:paraId="4E6FE188" w14:textId="77777777" w:rsidR="004D0F65" w:rsidRPr="00F734D4" w:rsidRDefault="004D0F65" w:rsidP="00042053">
            <w:pPr>
              <w:pStyle w:val="TableTextLeft"/>
            </w:pPr>
            <w:r>
              <w:t>Modified</w:t>
            </w:r>
          </w:p>
        </w:tc>
      </w:tr>
      <w:tr w:rsidR="004D0F65" w:rsidRPr="00F734D4" w14:paraId="270B833B" w14:textId="77777777" w:rsidTr="00FF4B0A">
        <w:trPr>
          <w:trHeight w:val="228"/>
        </w:trPr>
        <w:tc>
          <w:tcPr>
            <w:tcW w:w="4229" w:type="pct"/>
            <w:shd w:val="clear" w:color="auto" w:fill="E6F2FF"/>
            <w:noWrap/>
          </w:tcPr>
          <w:p w14:paraId="71724AFB" w14:textId="5E7752B9" w:rsidR="004D0F65" w:rsidRPr="00F734D4" w:rsidRDefault="004D0F65" w:rsidP="00042053">
            <w:pPr>
              <w:pStyle w:val="TableColumnHeadingLeft"/>
            </w:pPr>
            <w:r w:rsidRPr="00F734D4">
              <w:t>Veterans</w:t>
            </w:r>
            <w:r w:rsidR="00D737F9">
              <w:t>’</w:t>
            </w:r>
            <w:r w:rsidRPr="00F734D4">
              <w:t xml:space="preserve"> Affairs</w:t>
            </w:r>
          </w:p>
        </w:tc>
        <w:tc>
          <w:tcPr>
            <w:tcW w:w="771" w:type="pct"/>
            <w:shd w:val="clear" w:color="auto" w:fill="E6F2FF"/>
            <w:noWrap/>
          </w:tcPr>
          <w:p w14:paraId="48B37139" w14:textId="77777777" w:rsidR="004D0F65" w:rsidRPr="00F734D4" w:rsidRDefault="004D0F65" w:rsidP="00042053">
            <w:pPr>
              <w:pStyle w:val="TableColumnHeadingLeft"/>
            </w:pPr>
            <w:r w:rsidRPr="00F734D4">
              <w:t>Status</w:t>
            </w:r>
          </w:p>
        </w:tc>
      </w:tr>
      <w:tr w:rsidR="004D0F65" w:rsidRPr="00F734D4" w14:paraId="3AD9C343" w14:textId="77777777" w:rsidTr="00FF4B0A">
        <w:trPr>
          <w:trHeight w:val="228"/>
        </w:trPr>
        <w:tc>
          <w:tcPr>
            <w:tcW w:w="4229" w:type="pct"/>
            <w:shd w:val="clear" w:color="auto" w:fill="E6F2FF"/>
            <w:noWrap/>
          </w:tcPr>
          <w:p w14:paraId="7FB63B02" w14:textId="77777777" w:rsidR="004D0F65" w:rsidRPr="00F734D4" w:rsidRDefault="004D0F65" w:rsidP="00042053">
            <w:pPr>
              <w:pStyle w:val="TableColumnHeadingLeft"/>
            </w:pPr>
            <w:r w:rsidRPr="00F734D4">
              <w:rPr>
                <w:rFonts w:eastAsia="Arial"/>
              </w:rPr>
              <w:t>Fiscal Risk</w:t>
            </w:r>
          </w:p>
        </w:tc>
        <w:tc>
          <w:tcPr>
            <w:tcW w:w="771" w:type="pct"/>
            <w:shd w:val="clear" w:color="auto" w:fill="E6F2FF"/>
            <w:noWrap/>
          </w:tcPr>
          <w:p w14:paraId="0D02ADFF" w14:textId="77777777" w:rsidR="004D0F65" w:rsidRPr="00F734D4" w:rsidRDefault="004D0F65" w:rsidP="00042053">
            <w:pPr>
              <w:pStyle w:val="TableColumnHeadingRight"/>
            </w:pPr>
          </w:p>
        </w:tc>
      </w:tr>
      <w:tr w:rsidR="004D0F65" w:rsidRPr="00F734D4" w14:paraId="505C5392" w14:textId="77777777" w:rsidTr="00FF4B0A">
        <w:trPr>
          <w:trHeight w:val="228"/>
        </w:trPr>
        <w:tc>
          <w:tcPr>
            <w:tcW w:w="4229" w:type="pct"/>
            <w:shd w:val="clear" w:color="auto" w:fill="auto"/>
            <w:noWrap/>
          </w:tcPr>
          <w:p w14:paraId="4F24C0F3" w14:textId="77777777" w:rsidR="004D0F65" w:rsidRPr="00F734D4" w:rsidRDefault="004D0F65" w:rsidP="00042053">
            <w:pPr>
              <w:pStyle w:val="TableTextLeft-Indent"/>
              <w:rPr>
                <w:rFonts w:eastAsia="Arial"/>
              </w:rPr>
            </w:pPr>
            <w:r w:rsidRPr="00F734D4">
              <w:t>Defence Service Homes Insurance Scheme</w:t>
            </w:r>
          </w:p>
        </w:tc>
        <w:tc>
          <w:tcPr>
            <w:tcW w:w="771" w:type="pct"/>
            <w:shd w:val="clear" w:color="auto" w:fill="auto"/>
            <w:noWrap/>
          </w:tcPr>
          <w:p w14:paraId="500AFB6D" w14:textId="77777777" w:rsidR="004D0F65" w:rsidRPr="00F734D4" w:rsidRDefault="004D0F65" w:rsidP="00042053">
            <w:pPr>
              <w:pStyle w:val="TableTextLeft"/>
            </w:pPr>
            <w:r>
              <w:t>Unchanged</w:t>
            </w:r>
          </w:p>
        </w:tc>
      </w:tr>
    </w:tbl>
    <w:p w14:paraId="00FEF31E" w14:textId="2AC78AC0" w:rsidR="004D0F65" w:rsidRDefault="004D0F65" w:rsidP="00FF6334">
      <w:pPr>
        <w:pStyle w:val="ChartandTableFootnoteAlpha"/>
        <w:numPr>
          <w:ilvl w:val="0"/>
          <w:numId w:val="30"/>
        </w:numPr>
      </w:pPr>
      <w:r w:rsidRPr="00207041">
        <w:t>Detaile</w:t>
      </w:r>
      <w:r w:rsidRPr="00F734D4">
        <w:t>d descriptions of the</w:t>
      </w:r>
      <w:r>
        <w:t xml:space="preserve">se </w:t>
      </w:r>
      <w:r w:rsidRPr="00F734D4">
        <w:t xml:space="preserve">items are in the </w:t>
      </w:r>
      <w:r w:rsidRPr="00FF6334">
        <w:t>following</w:t>
      </w:r>
      <w:r w:rsidRPr="00F734D4">
        <w:t xml:space="preserve"> text.</w:t>
      </w:r>
    </w:p>
    <w:p w14:paraId="4FC168AA" w14:textId="77777777" w:rsidR="004D0F65" w:rsidRPr="001D718D" w:rsidRDefault="004D0F65" w:rsidP="004D0F65">
      <w:pPr>
        <w:pStyle w:val="TableLine"/>
      </w:pPr>
    </w:p>
    <w:p w14:paraId="71C6414C" w14:textId="77777777" w:rsidR="00DB146A" w:rsidRPr="00751AB5" w:rsidRDefault="00DB146A" w:rsidP="00751AB5">
      <w:r w:rsidRPr="00751AB5">
        <w:br w:type="page"/>
      </w:r>
    </w:p>
    <w:p w14:paraId="3C5456CD" w14:textId="65B1D1B0" w:rsidR="009D70F5" w:rsidRPr="00B832E0" w:rsidRDefault="009D70F5" w:rsidP="001078E4">
      <w:pPr>
        <w:pStyle w:val="Heading2"/>
      </w:pPr>
      <w:bookmarkStart w:id="13" w:name="_Toc166165486"/>
      <w:r w:rsidRPr="00B832E0">
        <w:lastRenderedPageBreak/>
        <w:t xml:space="preserve">Agriculture, Fisheries and </w:t>
      </w:r>
      <w:bookmarkEnd w:id="11"/>
      <w:r w:rsidRPr="00B832E0">
        <w:t>Forestry</w:t>
      </w:r>
      <w:bookmarkEnd w:id="13"/>
    </w:p>
    <w:p w14:paraId="7A4E06CE" w14:textId="77777777" w:rsidR="003C69E3" w:rsidRPr="00B832E0" w:rsidRDefault="003C69E3" w:rsidP="001078E4">
      <w:pPr>
        <w:pStyle w:val="Heading3"/>
      </w:pPr>
      <w:bookmarkStart w:id="14" w:name="_Toc71117771"/>
      <w:bookmarkStart w:id="15" w:name="_Toc99141853"/>
      <w:bookmarkStart w:id="16" w:name="_Toc166165487"/>
      <w:r w:rsidRPr="00B832E0">
        <w:t>Contingent liabilities – unquantifiable</w:t>
      </w:r>
      <w:bookmarkEnd w:id="14"/>
      <w:bookmarkEnd w:id="15"/>
      <w:bookmarkEnd w:id="16"/>
    </w:p>
    <w:p w14:paraId="1E67F879" w14:textId="77777777" w:rsidR="003C69E3" w:rsidRPr="00B832E0" w:rsidRDefault="003C69E3" w:rsidP="001078E4">
      <w:pPr>
        <w:pStyle w:val="Heading4"/>
      </w:pPr>
      <w:bookmarkStart w:id="17" w:name="_Toc71117772"/>
      <w:bookmarkStart w:id="18" w:name="_Toc71117773"/>
      <w:r w:rsidRPr="00B832E0">
        <w:t>Commonwealth liabilities in respect of matching payments to industries for research and development contributions</w:t>
      </w:r>
      <w:bookmarkEnd w:id="17"/>
    </w:p>
    <w:p w14:paraId="15B3FDEB" w14:textId="72DCA43D" w:rsidR="003C69E3" w:rsidRPr="00B832E0" w:rsidRDefault="003C69E3" w:rsidP="008503C8">
      <w:pPr>
        <w:rPr>
          <w:rFonts w:eastAsia="Book Antiqua"/>
        </w:rPr>
      </w:pPr>
      <w:r w:rsidRPr="00B832E0">
        <w:rPr>
          <w:rFonts w:eastAsia="Book Antiqua"/>
        </w:rPr>
        <w:t>Under several Acts, the Commonwealth provides matching contributions to encourage expenditure on research and development (R&amp;D) and to increase the competitiveness and sustainability of industries within Australia. Matching contributions on eligible R&amp;D</w:t>
      </w:r>
      <w:r w:rsidRPr="00B832E0">
        <w:rPr>
          <w:rFonts w:eastAsia="Book Antiqua"/>
          <w:spacing w:val="-15"/>
        </w:rPr>
        <w:t xml:space="preserve"> </w:t>
      </w:r>
      <w:r w:rsidRPr="00B832E0">
        <w:rPr>
          <w:rFonts w:eastAsia="Book Antiqua"/>
        </w:rPr>
        <w:t>are</w:t>
      </w:r>
      <w:r w:rsidRPr="00B832E0">
        <w:rPr>
          <w:rFonts w:eastAsia="Book Antiqua"/>
          <w:spacing w:val="-13"/>
        </w:rPr>
        <w:t xml:space="preserve"> </w:t>
      </w:r>
      <w:r w:rsidRPr="00B832E0">
        <w:rPr>
          <w:rFonts w:eastAsia="Book Antiqua"/>
        </w:rPr>
        <w:t>subject</w:t>
      </w:r>
      <w:r w:rsidRPr="00B832E0">
        <w:rPr>
          <w:rFonts w:eastAsia="Book Antiqua"/>
          <w:spacing w:val="-14"/>
        </w:rPr>
        <w:t xml:space="preserve"> </w:t>
      </w:r>
      <w:r w:rsidRPr="00B832E0">
        <w:rPr>
          <w:rFonts w:eastAsia="Book Antiqua"/>
        </w:rPr>
        <w:t>to</w:t>
      </w:r>
      <w:r w:rsidRPr="00B832E0">
        <w:rPr>
          <w:rFonts w:eastAsia="Book Antiqua"/>
          <w:spacing w:val="-15"/>
        </w:rPr>
        <w:t xml:space="preserve"> </w:t>
      </w:r>
      <w:r w:rsidRPr="00B832E0">
        <w:rPr>
          <w:rFonts w:eastAsia="Book Antiqua"/>
        </w:rPr>
        <w:t>an</w:t>
      </w:r>
      <w:r w:rsidRPr="00B832E0">
        <w:rPr>
          <w:rFonts w:eastAsia="Book Antiqua"/>
          <w:spacing w:val="-14"/>
        </w:rPr>
        <w:t xml:space="preserve"> </w:t>
      </w:r>
      <w:r w:rsidRPr="00B832E0">
        <w:rPr>
          <w:rFonts w:eastAsia="Book Antiqua"/>
        </w:rPr>
        <w:t>annual</w:t>
      </w:r>
      <w:r w:rsidRPr="00B832E0">
        <w:rPr>
          <w:rFonts w:eastAsia="Book Antiqua"/>
          <w:spacing w:val="-14"/>
        </w:rPr>
        <w:t xml:space="preserve"> </w:t>
      </w:r>
      <w:r w:rsidRPr="00B832E0">
        <w:rPr>
          <w:rFonts w:eastAsia="Book Antiqua"/>
        </w:rPr>
        <w:t>limit</w:t>
      </w:r>
      <w:r w:rsidRPr="00B832E0">
        <w:rPr>
          <w:rFonts w:eastAsia="Book Antiqua"/>
          <w:spacing w:val="-15"/>
        </w:rPr>
        <w:t xml:space="preserve"> </w:t>
      </w:r>
      <w:r w:rsidRPr="00B832E0">
        <w:rPr>
          <w:rFonts w:eastAsia="Book Antiqua"/>
        </w:rPr>
        <w:t>that</w:t>
      </w:r>
      <w:r w:rsidRPr="00B832E0">
        <w:rPr>
          <w:rFonts w:eastAsia="Book Antiqua"/>
          <w:spacing w:val="-14"/>
        </w:rPr>
        <w:t xml:space="preserve"> </w:t>
      </w:r>
      <w:r w:rsidRPr="00B832E0">
        <w:rPr>
          <w:rFonts w:eastAsia="Book Antiqua"/>
        </w:rPr>
        <w:t>is</w:t>
      </w:r>
      <w:r w:rsidRPr="00B832E0">
        <w:rPr>
          <w:rFonts w:eastAsia="Book Antiqua"/>
          <w:spacing w:val="-15"/>
        </w:rPr>
        <w:t xml:space="preserve"> </w:t>
      </w:r>
      <w:r w:rsidRPr="00B832E0">
        <w:rPr>
          <w:rFonts w:eastAsia="Book Antiqua"/>
        </w:rPr>
        <w:t>calculated</w:t>
      </w:r>
      <w:r w:rsidRPr="00B832E0">
        <w:rPr>
          <w:rFonts w:eastAsia="Book Antiqua"/>
          <w:spacing w:val="-12"/>
        </w:rPr>
        <w:t xml:space="preserve"> </w:t>
      </w:r>
      <w:r w:rsidRPr="00B832E0">
        <w:rPr>
          <w:rFonts w:eastAsia="Book Antiqua"/>
        </w:rPr>
        <w:t>based</w:t>
      </w:r>
      <w:r w:rsidRPr="00B832E0">
        <w:rPr>
          <w:rFonts w:eastAsia="Book Antiqua"/>
          <w:spacing w:val="-13"/>
        </w:rPr>
        <w:t xml:space="preserve"> </w:t>
      </w:r>
      <w:r w:rsidRPr="00B832E0">
        <w:rPr>
          <w:rFonts w:eastAsia="Book Antiqua"/>
        </w:rPr>
        <w:t>on</w:t>
      </w:r>
      <w:r w:rsidRPr="00B832E0">
        <w:rPr>
          <w:rFonts w:eastAsia="Book Antiqua"/>
          <w:spacing w:val="-15"/>
        </w:rPr>
        <w:t xml:space="preserve"> </w:t>
      </w:r>
      <w:r w:rsidRPr="00B832E0">
        <w:rPr>
          <w:rFonts w:eastAsia="Book Antiqua"/>
        </w:rPr>
        <w:t>the</w:t>
      </w:r>
      <w:r w:rsidRPr="00B832E0">
        <w:rPr>
          <w:rFonts w:eastAsia="Book Antiqua"/>
          <w:spacing w:val="-13"/>
        </w:rPr>
        <w:t xml:space="preserve"> </w:t>
      </w:r>
      <w:r w:rsidRPr="00B832E0">
        <w:rPr>
          <w:rFonts w:eastAsia="Book Antiqua"/>
        </w:rPr>
        <w:t>determined</w:t>
      </w:r>
      <w:r w:rsidRPr="00B832E0">
        <w:rPr>
          <w:rFonts w:eastAsia="Book Antiqua"/>
          <w:spacing w:val="-13"/>
        </w:rPr>
        <w:t xml:space="preserve"> </w:t>
      </w:r>
      <w:r w:rsidRPr="00B832E0">
        <w:rPr>
          <w:rFonts w:eastAsia="Book Antiqua"/>
        </w:rPr>
        <w:t>gross</w:t>
      </w:r>
      <w:r w:rsidRPr="00B832E0">
        <w:rPr>
          <w:rFonts w:eastAsia="Book Antiqua"/>
          <w:spacing w:val="-12"/>
        </w:rPr>
        <w:t xml:space="preserve"> </w:t>
      </w:r>
      <w:r w:rsidRPr="00B832E0">
        <w:rPr>
          <w:rFonts w:eastAsia="Book Antiqua"/>
        </w:rPr>
        <w:t>value of production (GVP cap) for the industries. There will be a R&amp;D excess, which can be claimable</w:t>
      </w:r>
      <w:r w:rsidRPr="00B832E0">
        <w:rPr>
          <w:rFonts w:eastAsia="Book Antiqua"/>
          <w:spacing w:val="-7"/>
        </w:rPr>
        <w:t xml:space="preserve"> </w:t>
      </w:r>
      <w:r w:rsidRPr="00B832E0">
        <w:rPr>
          <w:rFonts w:eastAsia="Book Antiqua"/>
        </w:rPr>
        <w:t>in</w:t>
      </w:r>
      <w:r w:rsidRPr="00B832E0">
        <w:rPr>
          <w:rFonts w:eastAsia="Book Antiqua"/>
          <w:spacing w:val="-9"/>
        </w:rPr>
        <w:t xml:space="preserve"> </w:t>
      </w:r>
      <w:r w:rsidRPr="00B832E0">
        <w:rPr>
          <w:rFonts w:eastAsia="Book Antiqua"/>
        </w:rPr>
        <w:t>future</w:t>
      </w:r>
      <w:r w:rsidRPr="00B832E0">
        <w:rPr>
          <w:rFonts w:eastAsia="Book Antiqua"/>
          <w:spacing w:val="-7"/>
        </w:rPr>
        <w:t xml:space="preserve"> </w:t>
      </w:r>
      <w:r w:rsidRPr="00B832E0">
        <w:rPr>
          <w:rFonts w:eastAsia="Book Antiqua"/>
        </w:rPr>
        <w:t>years,</w:t>
      </w:r>
      <w:r w:rsidRPr="00B832E0">
        <w:rPr>
          <w:rFonts w:eastAsia="Book Antiqua"/>
          <w:spacing w:val="-7"/>
        </w:rPr>
        <w:t xml:space="preserve"> </w:t>
      </w:r>
      <w:r w:rsidRPr="00B832E0">
        <w:rPr>
          <w:rFonts w:eastAsia="Book Antiqua"/>
        </w:rPr>
        <w:t>where</w:t>
      </w:r>
      <w:r w:rsidRPr="00B832E0">
        <w:rPr>
          <w:rFonts w:eastAsia="Book Antiqua"/>
          <w:spacing w:val="-7"/>
        </w:rPr>
        <w:t xml:space="preserve"> </w:t>
      </w:r>
      <w:r w:rsidRPr="00B832E0">
        <w:rPr>
          <w:rFonts w:eastAsia="Book Antiqua"/>
        </w:rPr>
        <w:t>the</w:t>
      </w:r>
      <w:r w:rsidRPr="00B832E0">
        <w:rPr>
          <w:rFonts w:eastAsia="Book Antiqua"/>
          <w:spacing w:val="-7"/>
        </w:rPr>
        <w:t xml:space="preserve"> </w:t>
      </w:r>
      <w:r w:rsidRPr="00B832E0">
        <w:rPr>
          <w:rFonts w:eastAsia="Book Antiqua"/>
        </w:rPr>
        <w:t>cumulative</w:t>
      </w:r>
      <w:r w:rsidRPr="00B832E0">
        <w:rPr>
          <w:rFonts w:eastAsia="Book Antiqua"/>
          <w:spacing w:val="-7"/>
        </w:rPr>
        <w:t xml:space="preserve"> </w:t>
      </w:r>
      <w:r w:rsidRPr="00B832E0">
        <w:rPr>
          <w:rFonts w:eastAsia="Book Antiqua"/>
        </w:rPr>
        <w:t>R&amp;D</w:t>
      </w:r>
      <w:r w:rsidRPr="00B832E0">
        <w:rPr>
          <w:rFonts w:eastAsia="Book Antiqua"/>
          <w:spacing w:val="-8"/>
        </w:rPr>
        <w:t xml:space="preserve"> </w:t>
      </w:r>
      <w:r w:rsidRPr="00B832E0">
        <w:rPr>
          <w:rFonts w:eastAsia="Book Antiqua"/>
        </w:rPr>
        <w:t>expenditure</w:t>
      </w:r>
      <w:r w:rsidRPr="00B832E0">
        <w:rPr>
          <w:rFonts w:eastAsia="Book Antiqua"/>
          <w:spacing w:val="-7"/>
        </w:rPr>
        <w:t xml:space="preserve"> </w:t>
      </w:r>
      <w:r w:rsidRPr="00B832E0">
        <w:rPr>
          <w:rFonts w:eastAsia="Book Antiqua"/>
        </w:rPr>
        <w:t>is</w:t>
      </w:r>
      <w:r w:rsidRPr="00B832E0">
        <w:rPr>
          <w:rFonts w:eastAsia="Book Antiqua"/>
          <w:spacing w:val="-8"/>
        </w:rPr>
        <w:t xml:space="preserve"> </w:t>
      </w:r>
      <w:r w:rsidRPr="00B832E0">
        <w:rPr>
          <w:rFonts w:eastAsia="Book Antiqua"/>
        </w:rPr>
        <w:t>more</w:t>
      </w:r>
      <w:r w:rsidRPr="00B832E0">
        <w:rPr>
          <w:rFonts w:eastAsia="Book Antiqua"/>
          <w:spacing w:val="-7"/>
        </w:rPr>
        <w:t xml:space="preserve"> </w:t>
      </w:r>
      <w:r w:rsidRPr="00B832E0">
        <w:rPr>
          <w:rFonts w:eastAsia="Book Antiqua"/>
        </w:rPr>
        <w:t>than</w:t>
      </w:r>
      <w:r w:rsidRPr="00B832E0">
        <w:rPr>
          <w:rFonts w:eastAsia="Book Antiqua"/>
          <w:spacing w:val="-9"/>
        </w:rPr>
        <w:t xml:space="preserve"> </w:t>
      </w:r>
      <w:r w:rsidRPr="00B832E0">
        <w:rPr>
          <w:rFonts w:eastAsia="Book Antiqua"/>
        </w:rPr>
        <w:t>the</w:t>
      </w:r>
      <w:r w:rsidRPr="00B832E0">
        <w:rPr>
          <w:rFonts w:eastAsia="Book Antiqua"/>
          <w:spacing w:val="-5"/>
        </w:rPr>
        <w:t xml:space="preserve"> </w:t>
      </w:r>
      <w:r w:rsidRPr="00B832E0">
        <w:rPr>
          <w:rFonts w:eastAsia="Book Antiqua"/>
        </w:rPr>
        <w:t>GVP cap. The Commonwealth</w:t>
      </w:r>
      <w:r w:rsidR="00D737F9">
        <w:rPr>
          <w:rFonts w:eastAsia="Book Antiqua"/>
        </w:rPr>
        <w:t>’</w:t>
      </w:r>
      <w:r w:rsidRPr="00B832E0">
        <w:rPr>
          <w:rFonts w:eastAsia="Book Antiqua"/>
        </w:rPr>
        <w:t>s future liability in respect of the matching contributions is contingent on the GVP</w:t>
      </w:r>
      <w:r>
        <w:rPr>
          <w:rFonts w:eastAsia="Book Antiqua"/>
        </w:rPr>
        <w:t> </w:t>
      </w:r>
      <w:r w:rsidRPr="00B832E0">
        <w:rPr>
          <w:rFonts w:eastAsia="Book Antiqua"/>
        </w:rPr>
        <w:t>cap and is therefore</w:t>
      </w:r>
      <w:r w:rsidRPr="00B832E0">
        <w:rPr>
          <w:rFonts w:eastAsia="Book Antiqua"/>
          <w:spacing w:val="-2"/>
        </w:rPr>
        <w:t xml:space="preserve"> </w:t>
      </w:r>
      <w:r w:rsidRPr="00B832E0">
        <w:rPr>
          <w:rFonts w:eastAsia="Book Antiqua"/>
        </w:rPr>
        <w:t>unquantifiable.</w:t>
      </w:r>
    </w:p>
    <w:bookmarkEnd w:id="18"/>
    <w:p w14:paraId="3520F08C" w14:textId="77777777" w:rsidR="003C69E3" w:rsidRPr="006460F9" w:rsidRDefault="003C69E3" w:rsidP="008503C8">
      <w:pPr>
        <w:pStyle w:val="Heading4"/>
        <w:rPr>
          <w:rFonts w:eastAsia="Arial"/>
        </w:rPr>
      </w:pPr>
      <w:r w:rsidRPr="006460F9">
        <w:rPr>
          <w:rFonts w:eastAsia="Arial"/>
        </w:rPr>
        <w:t xml:space="preserve">Emergency pest and disease response </w:t>
      </w:r>
      <w:r w:rsidRPr="008503C8">
        <w:rPr>
          <w:rFonts w:eastAsia="Arial"/>
        </w:rPr>
        <w:t>arrangements</w:t>
      </w:r>
    </w:p>
    <w:p w14:paraId="4BB8EBF9" w14:textId="2C55B388" w:rsidR="003C69E3" w:rsidRPr="00D04F0B" w:rsidRDefault="003C69E3" w:rsidP="008503C8">
      <w:r>
        <w:t>National emergency response arrangements for animal, plant and environmental pest and disease incursions are largely funded through cost</w:t>
      </w:r>
      <w:r w:rsidR="00D737F9">
        <w:noBreakHyphen/>
      </w:r>
      <w:r>
        <w:t>sharing agreements between Australian governments and affected agricultural industry bodies. Under the terms of the emergency response cost</w:t>
      </w:r>
      <w:r w:rsidR="00D737F9">
        <w:noBreakHyphen/>
      </w:r>
      <w:r>
        <w:t>sharing agreements, the Australian Government is typically liable for 50 per cent of the total government funding for a nationally agreed response to a pest or disease incursion. Funding is provided in the forward estimates for the Australian Government</w:t>
      </w:r>
      <w:r w:rsidR="00D737F9">
        <w:t>’</w:t>
      </w:r>
      <w:r>
        <w:t>s contributions under the emergency response agreements, which are then paid to the state or territory governments undertaking relevant activities.</w:t>
      </w:r>
    </w:p>
    <w:p w14:paraId="10418361" w14:textId="15B0D279" w:rsidR="003C69E3" w:rsidRDefault="003C69E3" w:rsidP="008503C8">
      <w:r>
        <w:t>There are currently 11 national cost</w:t>
      </w:r>
      <w:r w:rsidR="00D737F9">
        <w:noBreakHyphen/>
      </w:r>
      <w:r>
        <w:t xml:space="preserve">shared emergency responses. Since the 2023–24 Budget, the Australian Government increased the funding for </w:t>
      </w:r>
      <w:r w:rsidRPr="12386246">
        <w:t>large</w:t>
      </w:r>
      <w:r>
        <w:t xml:space="preserve"> </w:t>
      </w:r>
      <w:r w:rsidRPr="12386246">
        <w:t>scale</w:t>
      </w:r>
      <w:r>
        <w:t xml:space="preserve"> responses for the National Red Imported Fire Ant Eradication Program in Queensland and </w:t>
      </w:r>
      <w:r w:rsidRPr="0047633D">
        <w:t xml:space="preserve">the outbreak of </w:t>
      </w:r>
      <w:r w:rsidRPr="0047633D">
        <w:rPr>
          <w:i/>
          <w:iCs/>
        </w:rPr>
        <w:t>Varroa</w:t>
      </w:r>
      <w:r>
        <w:rPr>
          <w:i/>
          <w:iCs/>
        </w:rPr>
        <w:t> </w:t>
      </w:r>
      <w:r w:rsidRPr="0047633D">
        <w:rPr>
          <w:i/>
          <w:iCs/>
        </w:rPr>
        <w:t>destructor.</w:t>
      </w:r>
    </w:p>
    <w:p w14:paraId="3C59E480" w14:textId="7D292A60" w:rsidR="003C69E3" w:rsidRPr="006A7AD4" w:rsidRDefault="003C69E3" w:rsidP="008503C8">
      <w:r w:rsidRPr="006A7AD4">
        <w:rPr>
          <w:rFonts w:cstheme="minorHAnsi"/>
          <w:szCs w:val="24"/>
        </w:rPr>
        <w:t xml:space="preserve">The Australian Government has provided an additional $268.2 million over four years </w:t>
      </w:r>
      <w:r>
        <w:rPr>
          <w:rFonts w:cstheme="minorHAnsi"/>
          <w:szCs w:val="24"/>
        </w:rPr>
        <w:t>from 2024</w:t>
      </w:r>
      <w:r w:rsidR="001F3211">
        <w:rPr>
          <w:rFonts w:cstheme="minorHAnsi"/>
          <w:szCs w:val="24"/>
        </w:rPr>
        <w:t>–</w:t>
      </w:r>
      <w:r>
        <w:rPr>
          <w:rFonts w:cstheme="minorHAnsi"/>
          <w:szCs w:val="24"/>
        </w:rPr>
        <w:t xml:space="preserve">25 </w:t>
      </w:r>
      <w:r w:rsidRPr="006A7AD4">
        <w:rPr>
          <w:rFonts w:cstheme="minorHAnsi"/>
          <w:szCs w:val="24"/>
        </w:rPr>
        <w:t xml:space="preserve">for its share of the cost of the revised plan for the National Red Imported Fire Ant Eradication Program in Queensland. </w:t>
      </w:r>
    </w:p>
    <w:p w14:paraId="5F9FC82F" w14:textId="545DB94B" w:rsidR="003C69E3" w:rsidRPr="00D04F0B" w:rsidRDefault="003C69E3" w:rsidP="008503C8">
      <w:r>
        <w:t>In</w:t>
      </w:r>
      <w:r w:rsidR="0023629A">
        <w:t> June </w:t>
      </w:r>
      <w:r>
        <w:t>2023, the upper limit of the cost</w:t>
      </w:r>
      <w:r w:rsidR="00D737F9">
        <w:noBreakHyphen/>
      </w:r>
      <w:r>
        <w:t>shared budget for the response to the outbreak of</w:t>
      </w:r>
      <w:r w:rsidR="00EB5054">
        <w:t> </w:t>
      </w:r>
      <w:r>
        <w:rPr>
          <w:i/>
          <w:iCs/>
        </w:rPr>
        <w:t xml:space="preserve">Varroa destructor </w:t>
      </w:r>
      <w:r>
        <w:t>was increased to $132.0 million, with the Australian Government committing to contribute 40 per cent of this amount and allocating an additional $26.6 million over four years from 2023–24 as a provision for underwriting the 16 cost</w:t>
      </w:r>
      <w:r w:rsidR="00D737F9">
        <w:noBreakHyphen/>
      </w:r>
      <w:r w:rsidRPr="12386246">
        <w:t>sharing industries</w:t>
      </w:r>
      <w:r w:rsidR="00D737F9">
        <w:t>’</w:t>
      </w:r>
      <w:r w:rsidRPr="12386246">
        <w:t xml:space="preserve"> contributions for this response. </w:t>
      </w:r>
      <w:r>
        <w:t>In</w:t>
      </w:r>
      <w:r w:rsidR="00D9795C">
        <w:t> February </w:t>
      </w:r>
      <w:r>
        <w:t>2024, the Transition to Management plan was endorsed by the participating jurisdictions, with a revised upper limit of $100.0 million.</w:t>
      </w:r>
    </w:p>
    <w:p w14:paraId="0DB5BAE0" w14:textId="77777777" w:rsidR="008E32CD" w:rsidRDefault="008E32CD">
      <w:pPr>
        <w:spacing w:before="0" w:after="160" w:line="259" w:lineRule="auto"/>
        <w:rPr>
          <w:rFonts w:cstheme="minorHAnsi"/>
          <w:szCs w:val="24"/>
        </w:rPr>
      </w:pPr>
      <w:r>
        <w:rPr>
          <w:rFonts w:cstheme="minorHAnsi"/>
          <w:szCs w:val="24"/>
        </w:rPr>
        <w:br w:type="page"/>
      </w:r>
    </w:p>
    <w:p w14:paraId="0FCF8A12" w14:textId="264705C9" w:rsidR="003C69E3" w:rsidRPr="006A7AD4" w:rsidRDefault="003C69E3" w:rsidP="008503C8">
      <w:r w:rsidRPr="006A7AD4">
        <w:lastRenderedPageBreak/>
        <w:t xml:space="preserve">The Australian, state and territory governments developed a draft Aquatic Emergency Animal Disease Deed (the Deed) covering aquatic emergency animal diseases and have consulted prospective industry signatories. If the Deed is finalised, potential liabilities for the Australian Government will be increased. The extent of these liabilities will depend on which parties sign the Deed and what emergency aquatic incursions occur that would be subject to the Deed arrangements. </w:t>
      </w:r>
    </w:p>
    <w:p w14:paraId="27F08399" w14:textId="77777777" w:rsidR="003C69E3" w:rsidRPr="00B832E0" w:rsidRDefault="003C69E3" w:rsidP="001078E4">
      <w:pPr>
        <w:pStyle w:val="Heading4"/>
        <w:rPr>
          <w:rFonts w:ascii="Arial" w:eastAsia="Arial" w:hAnsi="Arial" w:cs="Arial"/>
          <w:bCs/>
          <w:lang w:val="en-US"/>
        </w:rPr>
      </w:pPr>
      <w:r w:rsidRPr="00B832E0">
        <w:rPr>
          <w:rFonts w:ascii="Arial" w:eastAsia="Arial" w:hAnsi="Arial" w:cs="Arial"/>
          <w:bCs/>
          <w:lang w:val="en-US"/>
        </w:rPr>
        <w:t xml:space="preserve">White spot </w:t>
      </w:r>
      <w:r w:rsidRPr="00B832E0">
        <w:rPr>
          <w:rFonts w:eastAsia="Arial"/>
        </w:rPr>
        <w:t>syndrome</w:t>
      </w:r>
      <w:r w:rsidRPr="00B832E0">
        <w:rPr>
          <w:rFonts w:ascii="Arial" w:eastAsia="Arial" w:hAnsi="Arial" w:cs="Arial"/>
          <w:bCs/>
          <w:lang w:val="en-US"/>
        </w:rPr>
        <w:t xml:space="preserve"> virus and disease 2016 outbreak</w:t>
      </w:r>
    </w:p>
    <w:p w14:paraId="50F53AC1" w14:textId="6EE682AD" w:rsidR="003C69E3" w:rsidRPr="003E0B69" w:rsidRDefault="003C69E3" w:rsidP="008503C8">
      <w:r>
        <w:t>The Commonwealth is responding to three</w:t>
      </w:r>
      <w:r w:rsidRPr="7ED71AFF">
        <w:t xml:space="preserve"> </w:t>
      </w:r>
      <w:r>
        <w:t>claims related to the 2016 outbreak of white spot syndrome virus in Queensland. White spot syndrome virus was first detected in South East Queensland in</w:t>
      </w:r>
      <w:r w:rsidR="00D9795C">
        <w:t> December </w:t>
      </w:r>
      <w:r>
        <w:t>2016 and seven prawn farms on the Logan River were affected from late</w:t>
      </w:r>
      <w:r w:rsidRPr="7ED71AFF">
        <w:t xml:space="preserve"> </w:t>
      </w:r>
      <w:r>
        <w:t>2016 to early</w:t>
      </w:r>
      <w:r w:rsidRPr="7ED71AFF">
        <w:t xml:space="preserve"> 2017.</w:t>
      </w:r>
      <w:r>
        <w:t xml:space="preserve"> Prawns on the infected farms were destroyed to eradicate the disease as part of a joint industry, Australian and state government response.</w:t>
      </w:r>
    </w:p>
    <w:p w14:paraId="6ADBE477" w14:textId="2B66083B" w:rsidR="003C69E3" w:rsidRPr="001F7AD7" w:rsidRDefault="003C69E3" w:rsidP="008503C8">
      <w:pPr>
        <w:rPr>
          <w:rFonts w:cstheme="minorHAnsi"/>
          <w:szCs w:val="24"/>
        </w:rPr>
      </w:pPr>
      <w:r w:rsidRPr="001F7AD7">
        <w:rPr>
          <w:rFonts w:cstheme="minorHAnsi"/>
          <w:szCs w:val="24"/>
        </w:rPr>
        <w:t>Gold Coast Marine Aquaculture Pty Ltd has filed a claim in the Federal Court of Australia, claiming a breach of a duty to warn by the Commonwealth</w:t>
      </w:r>
      <w:bookmarkStart w:id="19" w:name="_Hlk147848421"/>
      <w:r w:rsidRPr="001F7AD7">
        <w:rPr>
          <w:rFonts w:cstheme="minorHAnsi"/>
          <w:szCs w:val="24"/>
        </w:rPr>
        <w:t xml:space="preserve">. </w:t>
      </w:r>
      <w:bookmarkEnd w:id="19"/>
      <w:r w:rsidRPr="001F7AD7">
        <w:rPr>
          <w:rFonts w:cstheme="minorHAnsi"/>
          <w:szCs w:val="24"/>
        </w:rPr>
        <w:t>Gold Coast Marine Aquaculture Pty Ltd alleges that the Commonwealth</w:t>
      </w:r>
      <w:r w:rsidR="00D737F9">
        <w:rPr>
          <w:rFonts w:cstheme="minorHAnsi"/>
          <w:szCs w:val="24"/>
        </w:rPr>
        <w:t>’</w:t>
      </w:r>
      <w:r w:rsidRPr="001F7AD7">
        <w:rPr>
          <w:rFonts w:cstheme="minorHAnsi"/>
          <w:szCs w:val="24"/>
        </w:rPr>
        <w:t>s alleged breach caused, or contributed to</w:t>
      </w:r>
      <w:r>
        <w:rPr>
          <w:rFonts w:cstheme="minorHAnsi"/>
          <w:szCs w:val="24"/>
        </w:rPr>
        <w:t>,</w:t>
      </w:r>
      <w:r w:rsidRPr="001F7AD7">
        <w:rPr>
          <w:rFonts w:cstheme="minorHAnsi"/>
          <w:szCs w:val="24"/>
        </w:rPr>
        <w:t xml:space="preserve"> the outbreak of white spot syndrome virus in Queensland</w:t>
      </w:r>
      <w:r w:rsidR="00D737F9">
        <w:rPr>
          <w:rFonts w:cstheme="minorHAnsi"/>
          <w:szCs w:val="24"/>
        </w:rPr>
        <w:t>’</w:t>
      </w:r>
      <w:r w:rsidRPr="001F7AD7">
        <w:rPr>
          <w:rFonts w:cstheme="minorHAnsi"/>
          <w:szCs w:val="24"/>
        </w:rPr>
        <w:t>s Logan River in</w:t>
      </w:r>
      <w:r w:rsidR="00D9795C">
        <w:rPr>
          <w:rFonts w:cstheme="minorHAnsi"/>
          <w:szCs w:val="24"/>
        </w:rPr>
        <w:t> December </w:t>
      </w:r>
      <w:r w:rsidRPr="001F7AD7">
        <w:rPr>
          <w:rFonts w:cstheme="minorHAnsi"/>
          <w:szCs w:val="24"/>
        </w:rPr>
        <w:t xml:space="preserve">2016 and resulting in loss and damage to Gold Coast Marine Aquaculture Pty Ltd. </w:t>
      </w:r>
    </w:p>
    <w:p w14:paraId="10D887B8" w14:textId="16B7D8EB" w:rsidR="003C69E3" w:rsidRPr="001F7AD7" w:rsidRDefault="003C69E3" w:rsidP="008503C8">
      <w:pPr>
        <w:rPr>
          <w:rFonts w:cstheme="minorHAnsi"/>
          <w:szCs w:val="24"/>
        </w:rPr>
      </w:pPr>
      <w:r w:rsidRPr="001F7AD7">
        <w:rPr>
          <w:rFonts w:cstheme="minorHAnsi"/>
          <w:szCs w:val="24"/>
        </w:rPr>
        <w:t>A class action has been filed in the Supreme Court of Queensland led by Tweed Bait Pty Ltd and TPF</w:t>
      </w:r>
      <w:r>
        <w:rPr>
          <w:rFonts w:cstheme="minorHAnsi"/>
          <w:szCs w:val="24"/>
        </w:rPr>
        <w:t> </w:t>
      </w:r>
      <w:r w:rsidRPr="001F7AD7">
        <w:rPr>
          <w:rFonts w:cstheme="minorHAnsi"/>
          <w:szCs w:val="24"/>
        </w:rPr>
        <w:t>Management Company Pty Ltd on behalf of commercial fishers, handlers and wholesalers. The class action seeks compensation for loss and damage suffered as a result of the 2016 outbreak of white spot syndrome virus and white spot disease in Queensland</w:t>
      </w:r>
      <w:r w:rsidR="00D737F9">
        <w:rPr>
          <w:rFonts w:cstheme="minorHAnsi"/>
          <w:szCs w:val="24"/>
        </w:rPr>
        <w:t>’</w:t>
      </w:r>
      <w:r w:rsidRPr="001F7AD7">
        <w:rPr>
          <w:rFonts w:cstheme="minorHAnsi"/>
          <w:szCs w:val="24"/>
        </w:rPr>
        <w:t>s Logan River area, the Commonwealth</w:t>
      </w:r>
      <w:r w:rsidR="00D737F9">
        <w:rPr>
          <w:rFonts w:cstheme="minorHAnsi"/>
          <w:szCs w:val="24"/>
        </w:rPr>
        <w:t>’</w:t>
      </w:r>
      <w:r w:rsidRPr="001F7AD7">
        <w:rPr>
          <w:rFonts w:cstheme="minorHAnsi"/>
          <w:szCs w:val="24"/>
        </w:rPr>
        <w:t xml:space="preserve">s implementation of biosecurity measures in response to the outbreak, and the adverse impacts on consumer demand resulting from publicity regarding the outbreak. </w:t>
      </w:r>
    </w:p>
    <w:p w14:paraId="5DDB5344" w14:textId="77777777" w:rsidR="003C69E3" w:rsidRPr="001F7AD7" w:rsidRDefault="003C69E3" w:rsidP="008503C8">
      <w:pPr>
        <w:rPr>
          <w:rFonts w:cstheme="minorHAnsi"/>
          <w:szCs w:val="24"/>
          <w:lang w:val="en-US"/>
        </w:rPr>
      </w:pPr>
      <w:r w:rsidRPr="001F7AD7">
        <w:rPr>
          <w:rFonts w:cstheme="minorHAnsi"/>
          <w:szCs w:val="24"/>
        </w:rPr>
        <w:t xml:space="preserve">A third claim, an open class action, has been filed in the Supreme Court of Queensland against the Commonwealth and is led by M&amp;G Oyster Supplies Pty Ltd. The claim arises out of similar circumstances to the Tweed Bait Pty Ltd and TPF Management Company Pty Ltd matter. </w:t>
      </w:r>
      <w:r>
        <w:rPr>
          <w:rFonts w:cstheme="minorHAnsi"/>
          <w:szCs w:val="24"/>
        </w:rPr>
        <w:t>Litigation funding has not yet been secured by the class, despite the matter being before the court. Should it proceed, the matter is to be case managed alongside Tweed Bait.</w:t>
      </w:r>
    </w:p>
    <w:p w14:paraId="42164519" w14:textId="77777777" w:rsidR="003C69E3" w:rsidRDefault="003C69E3" w:rsidP="008503C8">
      <w:r>
        <w:t>Costs associated with these litigation claims or any future litigation relating to the 2016 outbreak of white spot syndrome virus are not quantifiable until the matter is determined by the Court or otherwise resolved.</w:t>
      </w:r>
    </w:p>
    <w:p w14:paraId="6355E382" w14:textId="77777777" w:rsidR="00DB146A" w:rsidRPr="00440A8F" w:rsidRDefault="00DB146A" w:rsidP="008503C8">
      <w:bookmarkStart w:id="20" w:name="_Toc99141854"/>
      <w:r w:rsidRPr="00440A8F">
        <w:br w:type="page"/>
      </w:r>
    </w:p>
    <w:p w14:paraId="04B58743" w14:textId="548EA90F" w:rsidR="009D70F5" w:rsidRPr="004F4CB2" w:rsidRDefault="009D70F5" w:rsidP="001078E4">
      <w:pPr>
        <w:pStyle w:val="Heading2"/>
      </w:pPr>
      <w:bookmarkStart w:id="21" w:name="_Toc166165488"/>
      <w:r w:rsidRPr="004F4CB2">
        <w:lastRenderedPageBreak/>
        <w:t>Attorney</w:t>
      </w:r>
      <w:r w:rsidR="00D737F9">
        <w:noBreakHyphen/>
      </w:r>
      <w:r w:rsidRPr="004F4CB2">
        <w:t>General</w:t>
      </w:r>
      <w:r w:rsidR="00D737F9">
        <w:t>’</w:t>
      </w:r>
      <w:r w:rsidRPr="004F4CB2">
        <w:t>s</w:t>
      </w:r>
      <w:bookmarkEnd w:id="20"/>
      <w:bookmarkEnd w:id="21"/>
    </w:p>
    <w:p w14:paraId="602CBA03" w14:textId="77777777" w:rsidR="009F0198" w:rsidRPr="00B832E0" w:rsidRDefault="009F0198" w:rsidP="001078E4">
      <w:pPr>
        <w:pStyle w:val="Heading3"/>
      </w:pPr>
      <w:bookmarkStart w:id="22" w:name="_Toc166165489"/>
      <w:bookmarkStart w:id="23" w:name="_Toc71117776"/>
      <w:bookmarkStart w:id="24" w:name="_Toc99141855"/>
      <w:bookmarkStart w:id="25" w:name="_Toc99141856"/>
      <w:r w:rsidRPr="00B832E0">
        <w:t>Significant but remote contingency</w:t>
      </w:r>
      <w:bookmarkEnd w:id="22"/>
    </w:p>
    <w:p w14:paraId="2EE8E958" w14:textId="77777777" w:rsidR="009F0198" w:rsidRPr="00B832E0" w:rsidRDefault="009F0198" w:rsidP="001078E4">
      <w:pPr>
        <w:pStyle w:val="Heading4"/>
        <w:rPr>
          <w:rFonts w:eastAsia="Arial"/>
        </w:rPr>
      </w:pPr>
      <w:r w:rsidRPr="00B832E0">
        <w:rPr>
          <w:rFonts w:eastAsia="Arial"/>
        </w:rPr>
        <w:t>Indemnities relating to the Air Security Officer Capability</w:t>
      </w:r>
    </w:p>
    <w:p w14:paraId="384CB028" w14:textId="155E9AA0" w:rsidR="009F0198" w:rsidRPr="00B832E0" w:rsidRDefault="009F0198" w:rsidP="001078E4">
      <w:pPr>
        <w:keepLines/>
        <w:rPr>
          <w:spacing w:val="-3"/>
          <w:kern w:val="18"/>
        </w:rPr>
      </w:pPr>
      <w:r w:rsidRPr="00B832E0">
        <w:rPr>
          <w:spacing w:val="-3"/>
          <w:kern w:val="18"/>
        </w:rPr>
        <w:t xml:space="preserve">The Australian Government has provided an indemnity to </w:t>
      </w:r>
      <w:r>
        <w:rPr>
          <w:spacing w:val="-3"/>
          <w:kern w:val="18"/>
        </w:rPr>
        <w:t>two </w:t>
      </w:r>
      <w:r w:rsidRPr="00B832E0">
        <w:rPr>
          <w:spacing w:val="-3"/>
          <w:kern w:val="18"/>
        </w:rPr>
        <w:t>Australian airlines connected with agreements to allow Air Security Officers on board their aircraft. The indemnities are limited to $2</w:t>
      </w:r>
      <w:r w:rsidR="0023629A">
        <w:rPr>
          <w:rFonts w:hint="eastAsia"/>
          <w:spacing w:val="-3"/>
          <w:kern w:val="18"/>
        </w:rPr>
        <w:t> billion</w:t>
      </w:r>
      <w:r w:rsidRPr="00B832E0">
        <w:rPr>
          <w:spacing w:val="-3"/>
          <w:kern w:val="18"/>
        </w:rPr>
        <w:t xml:space="preserve"> per</w:t>
      </w:r>
      <w:r>
        <w:rPr>
          <w:spacing w:val="-3"/>
          <w:kern w:val="18"/>
        </w:rPr>
        <w:t> </w:t>
      </w:r>
      <w:r w:rsidRPr="00B832E0">
        <w:rPr>
          <w:spacing w:val="-3"/>
          <w:kern w:val="18"/>
        </w:rPr>
        <w:t xml:space="preserve">incident. The indemnity only applies where the airline(s) can establish that loss, damage or claim resulted from an act by an Air Security Officer, under or in connection with the Air Security Officer program. The indemnity applies to the extent that any loss, damage or claim is not covered by existing relevant insurance policies held by the airline. </w:t>
      </w:r>
    </w:p>
    <w:p w14:paraId="710ECA8A" w14:textId="77777777" w:rsidR="009F0198" w:rsidRPr="00B832E0" w:rsidRDefault="009F0198" w:rsidP="001078E4">
      <w:pPr>
        <w:pStyle w:val="Heading3"/>
      </w:pPr>
      <w:bookmarkStart w:id="26" w:name="_Toc166165490"/>
      <w:r w:rsidRPr="00B832E0">
        <w:t>Contingent liabilities – unquantifiable</w:t>
      </w:r>
      <w:bookmarkStart w:id="27" w:name="_Toc71117777"/>
      <w:bookmarkEnd w:id="23"/>
      <w:bookmarkEnd w:id="24"/>
      <w:bookmarkEnd w:id="26"/>
    </w:p>
    <w:p w14:paraId="5F7D126E" w14:textId="77777777" w:rsidR="009F0198" w:rsidRPr="00B832E0" w:rsidRDefault="009F0198" w:rsidP="001078E4">
      <w:pPr>
        <w:pStyle w:val="Heading4"/>
      </w:pPr>
      <w:r w:rsidRPr="00B832E0">
        <w:t>Native Title costs</w:t>
      </w:r>
      <w:bookmarkEnd w:id="27"/>
    </w:p>
    <w:p w14:paraId="5C39015E" w14:textId="02FA6A50" w:rsidR="009F0198" w:rsidRPr="00B832E0" w:rsidRDefault="009F0198" w:rsidP="008503C8">
      <w:r w:rsidRPr="00B832E0">
        <w:t xml:space="preserve">The Australian Government will likely be liable for any compensation found to be payable under the </w:t>
      </w:r>
      <w:r w:rsidRPr="00B832E0">
        <w:rPr>
          <w:i/>
        </w:rPr>
        <w:t>Native Title Act</w:t>
      </w:r>
      <w:r>
        <w:rPr>
          <w:i/>
        </w:rPr>
        <w:t> </w:t>
      </w:r>
      <w:r w:rsidRPr="00B832E0">
        <w:rPr>
          <w:i/>
        </w:rPr>
        <w:t xml:space="preserve">1993 </w:t>
      </w:r>
      <w:r w:rsidRPr="00B832E0">
        <w:t xml:space="preserve">in respect of compensable acts for which the </w:t>
      </w:r>
      <w:r w:rsidR="001F3211">
        <w:t>Australian</w:t>
      </w:r>
      <w:r w:rsidR="008503C8">
        <w:t xml:space="preserve"> </w:t>
      </w:r>
      <w:r w:rsidR="001F3211">
        <w:t>Government</w:t>
      </w:r>
      <w:r w:rsidRPr="00B832E0">
        <w:t xml:space="preserve"> is responsible. While the High Court</w:t>
      </w:r>
      <w:r w:rsidR="00D737F9">
        <w:t>’</w:t>
      </w:r>
      <w:r w:rsidRPr="00B832E0">
        <w:t xml:space="preserve">s decision in the </w:t>
      </w:r>
      <w:r w:rsidRPr="00B832E0">
        <w:rPr>
          <w:i/>
        </w:rPr>
        <w:t>Timber</w:t>
      </w:r>
      <w:r w:rsidRPr="00B832E0">
        <w:rPr>
          <w:rFonts w:hint="eastAsia"/>
          <w:i/>
        </w:rPr>
        <w:t> </w:t>
      </w:r>
      <w:r w:rsidRPr="00B832E0">
        <w:rPr>
          <w:i/>
        </w:rPr>
        <w:t xml:space="preserve">Creek </w:t>
      </w:r>
      <w:r w:rsidRPr="00B832E0">
        <w:t>litigation (</w:t>
      </w:r>
      <w:r w:rsidRPr="00B832E0">
        <w:rPr>
          <w:i/>
        </w:rPr>
        <w:t xml:space="preserve">Northern Territory v Griffiths et al </w:t>
      </w:r>
      <w:r w:rsidRPr="00B832E0">
        <w:t>[2019]</w:t>
      </w:r>
      <w:r>
        <w:t> </w:t>
      </w:r>
      <w:r w:rsidRPr="00B832E0">
        <w:t>HCA</w:t>
      </w:r>
      <w:r>
        <w:t> </w:t>
      </w:r>
      <w:r w:rsidRPr="00B832E0">
        <w:t xml:space="preserve">7) provides guidance on the principles for calculating compensation under the </w:t>
      </w:r>
      <w:r w:rsidRPr="00B832E0">
        <w:rPr>
          <w:i/>
        </w:rPr>
        <w:t>Native</w:t>
      </w:r>
      <w:r>
        <w:rPr>
          <w:i/>
        </w:rPr>
        <w:t> </w:t>
      </w:r>
      <w:r w:rsidRPr="00B832E0">
        <w:rPr>
          <w:i/>
        </w:rPr>
        <w:t>Title</w:t>
      </w:r>
      <w:r>
        <w:rPr>
          <w:i/>
        </w:rPr>
        <w:t> </w:t>
      </w:r>
      <w:r w:rsidRPr="00B832E0">
        <w:rPr>
          <w:i/>
        </w:rPr>
        <w:t>Act</w:t>
      </w:r>
      <w:r w:rsidRPr="00B832E0">
        <w:t>, the Australian</w:t>
      </w:r>
      <w:r w:rsidRPr="00B832E0">
        <w:rPr>
          <w:rFonts w:hint="eastAsia"/>
        </w:rPr>
        <w:t> </w:t>
      </w:r>
      <w:r w:rsidRPr="00B832E0">
        <w:t>Government</w:t>
      </w:r>
      <w:r w:rsidR="00D737F9">
        <w:t>’</w:t>
      </w:r>
      <w:r w:rsidRPr="00B832E0">
        <w:t>s</w:t>
      </w:r>
      <w:r w:rsidRPr="00B832E0">
        <w:rPr>
          <w:spacing w:val="-9"/>
        </w:rPr>
        <w:t xml:space="preserve"> </w:t>
      </w:r>
      <w:r w:rsidRPr="00B832E0">
        <w:t>liability</w:t>
      </w:r>
      <w:r w:rsidRPr="00B832E0">
        <w:rPr>
          <w:spacing w:val="-11"/>
        </w:rPr>
        <w:t xml:space="preserve"> </w:t>
      </w:r>
      <w:r w:rsidRPr="00B832E0">
        <w:t>cannot</w:t>
      </w:r>
      <w:r w:rsidRPr="00B832E0">
        <w:rPr>
          <w:spacing w:val="-11"/>
        </w:rPr>
        <w:t xml:space="preserve"> </w:t>
      </w:r>
      <w:r w:rsidRPr="00B832E0">
        <w:t>be</w:t>
      </w:r>
      <w:r w:rsidRPr="00B832E0">
        <w:rPr>
          <w:spacing w:val="-7"/>
        </w:rPr>
        <w:t xml:space="preserve"> </w:t>
      </w:r>
      <w:r w:rsidRPr="00B832E0">
        <w:t>quantified</w:t>
      </w:r>
      <w:r w:rsidRPr="00B832E0">
        <w:rPr>
          <w:spacing w:val="-11"/>
        </w:rPr>
        <w:t xml:space="preserve"> </w:t>
      </w:r>
      <w:r w:rsidRPr="00B832E0">
        <w:t>owing</w:t>
      </w:r>
      <w:r w:rsidRPr="00B832E0">
        <w:rPr>
          <w:spacing w:val="-11"/>
        </w:rPr>
        <w:t xml:space="preserve"> </w:t>
      </w:r>
      <w:r w:rsidRPr="00B832E0">
        <w:t>to</w:t>
      </w:r>
      <w:r w:rsidRPr="00B832E0">
        <w:rPr>
          <w:spacing w:val="-11"/>
        </w:rPr>
        <w:t xml:space="preserve"> </w:t>
      </w:r>
      <w:r w:rsidRPr="00B832E0">
        <w:t>uncertainty</w:t>
      </w:r>
      <w:r w:rsidRPr="00B832E0">
        <w:rPr>
          <w:spacing w:val="-9"/>
        </w:rPr>
        <w:t xml:space="preserve"> </w:t>
      </w:r>
      <w:r w:rsidRPr="00B832E0">
        <w:t>about</w:t>
      </w:r>
      <w:r w:rsidRPr="00B832E0">
        <w:rPr>
          <w:spacing w:val="-8"/>
        </w:rPr>
        <w:t xml:space="preserve"> </w:t>
      </w:r>
      <w:r w:rsidRPr="00B832E0">
        <w:t>the</w:t>
      </w:r>
      <w:r w:rsidRPr="00B832E0">
        <w:rPr>
          <w:spacing w:val="-8"/>
        </w:rPr>
        <w:t xml:space="preserve"> </w:t>
      </w:r>
      <w:r w:rsidRPr="00B832E0">
        <w:t>number</w:t>
      </w:r>
      <w:r w:rsidRPr="00B832E0">
        <w:rPr>
          <w:spacing w:val="-10"/>
        </w:rPr>
        <w:t xml:space="preserve"> </w:t>
      </w:r>
      <w:r w:rsidRPr="00B832E0">
        <w:t>and effect of compensable acts, and the value of Native Title affected by those</w:t>
      </w:r>
      <w:r w:rsidRPr="00B832E0">
        <w:rPr>
          <w:spacing w:val="-8"/>
        </w:rPr>
        <w:t xml:space="preserve"> </w:t>
      </w:r>
      <w:r w:rsidRPr="00B832E0">
        <w:t>acts.</w:t>
      </w:r>
    </w:p>
    <w:p w14:paraId="11F65336" w14:textId="3F43FC5D" w:rsidR="009F0198" w:rsidRPr="008503C8" w:rsidRDefault="009F0198" w:rsidP="00710D1F">
      <w:pPr>
        <w:pStyle w:val="Heading4"/>
      </w:pPr>
      <w:bookmarkStart w:id="28" w:name="_Hlk148351163"/>
      <w:r w:rsidRPr="008503C8">
        <w:t>Current and prospective investor</w:t>
      </w:r>
      <w:r w:rsidR="00D737F9">
        <w:noBreakHyphen/>
      </w:r>
      <w:r w:rsidRPr="008503C8">
        <w:t xml:space="preserve">state claims against the </w:t>
      </w:r>
      <w:bookmarkEnd w:id="28"/>
      <w:r w:rsidR="001F3211" w:rsidRPr="008503C8">
        <w:t>Australian Government</w:t>
      </w:r>
    </w:p>
    <w:p w14:paraId="31E2ECD9" w14:textId="4F516484" w:rsidR="009F0198" w:rsidRPr="007939C3" w:rsidRDefault="009F0198" w:rsidP="00EF4007">
      <w:r>
        <w:t>The Commonwealt</w:t>
      </w:r>
      <w:r w:rsidRPr="00AF3AED">
        <w:t>h received</w:t>
      </w:r>
      <w:r>
        <w:t xml:space="preserve"> a notice of arbitration from Singapore registered company Zeph Investments Pte Ltd (Zeph) concerning a dispute </w:t>
      </w:r>
      <w:r w:rsidRPr="003C7C52">
        <w:t xml:space="preserve">about </w:t>
      </w:r>
      <w:r w:rsidRPr="005B6781">
        <w:t>the</w:t>
      </w:r>
      <w:r w:rsidRPr="53FADD55">
        <w:rPr>
          <w:i/>
          <w:iCs/>
        </w:rPr>
        <w:t xml:space="preserve"> Iron Ore Processing (Mineralogy Pty Ltd) Agreement Amendment Act 2020</w:t>
      </w:r>
      <w:r>
        <w:t> </w:t>
      </w:r>
      <w:r w:rsidRPr="53FADD55">
        <w:rPr>
          <w:i/>
          <w:iCs/>
        </w:rPr>
        <w:t>(WA)</w:t>
      </w:r>
      <w:r>
        <w:t xml:space="preserve">. Zeph raised this claim under Chapter 11 (Investment) of the </w:t>
      </w:r>
      <w:r w:rsidRPr="53FADD55">
        <w:rPr>
          <w:i/>
          <w:iCs/>
        </w:rPr>
        <w:t>Agreement Establishing</w:t>
      </w:r>
      <w:r>
        <w:t xml:space="preserve"> </w:t>
      </w:r>
      <w:r w:rsidRPr="53FADD55">
        <w:rPr>
          <w:i/>
          <w:iCs/>
        </w:rPr>
        <w:t>the ASEAN</w:t>
      </w:r>
      <w:r w:rsidR="00D737F9">
        <w:rPr>
          <w:i/>
          <w:iCs/>
        </w:rPr>
        <w:noBreakHyphen/>
      </w:r>
      <w:r w:rsidRPr="53FADD55">
        <w:rPr>
          <w:i/>
          <w:iCs/>
        </w:rPr>
        <w:t>Australia</w:t>
      </w:r>
      <w:r w:rsidR="00D737F9">
        <w:rPr>
          <w:i/>
          <w:iCs/>
        </w:rPr>
        <w:noBreakHyphen/>
      </w:r>
      <w:r w:rsidRPr="53FADD55">
        <w:rPr>
          <w:i/>
          <w:iCs/>
        </w:rPr>
        <w:t>New Zealand Free Trade Area (AANZFTA)</w:t>
      </w:r>
      <w:r>
        <w:t xml:space="preserve">. </w:t>
      </w:r>
    </w:p>
    <w:p w14:paraId="69A51D71" w14:textId="77777777" w:rsidR="009F0198" w:rsidRPr="00764936" w:rsidRDefault="009F0198" w:rsidP="00EF4007">
      <w:r w:rsidRPr="19E66742">
        <w:rPr>
          <w:rFonts w:eastAsia="Arial"/>
          <w:lang w:val="en-US"/>
        </w:rPr>
        <w:t xml:space="preserve">Subsequently, the Commonwealth </w:t>
      </w:r>
      <w:r>
        <w:rPr>
          <w:rFonts w:eastAsia="Arial"/>
          <w:lang w:val="en-US"/>
        </w:rPr>
        <w:t>has received two further notices of arbitration</w:t>
      </w:r>
      <w:r w:rsidRPr="19E66742">
        <w:rPr>
          <w:rFonts w:eastAsia="Arial"/>
          <w:lang w:val="en-US"/>
        </w:rPr>
        <w:t xml:space="preserve"> from Zeph</w:t>
      </w:r>
      <w:r>
        <w:rPr>
          <w:rFonts w:eastAsia="Arial"/>
          <w:lang w:val="en-US"/>
        </w:rPr>
        <w:t>. The first concerns</w:t>
      </w:r>
      <w:r w:rsidRPr="19E66742">
        <w:rPr>
          <w:rFonts w:eastAsia="Arial"/>
          <w:lang w:val="en-US"/>
        </w:rPr>
        <w:t xml:space="preserve"> a dispute about exploration permits held by Waratah Coal Pty Ltd </w:t>
      </w:r>
      <w:r>
        <w:rPr>
          <w:rFonts w:eastAsia="Arial"/>
          <w:lang w:val="en-US"/>
        </w:rPr>
        <w:t>(Waratah)</w:t>
      </w:r>
      <w:r w:rsidRPr="19E66742">
        <w:rPr>
          <w:rFonts w:eastAsia="Arial"/>
          <w:lang w:val="en-US"/>
        </w:rPr>
        <w:t xml:space="preserve"> in the Galilee Basin of Queensland. </w:t>
      </w:r>
      <w:r>
        <w:rPr>
          <w:rFonts w:eastAsia="Arial"/>
          <w:lang w:val="en-US"/>
        </w:rPr>
        <w:t xml:space="preserve">The second concerns a dispute about a coal mine proposed by Waratah, also in the Galilee Basin. </w:t>
      </w:r>
      <w:r w:rsidRPr="19E66742">
        <w:rPr>
          <w:rFonts w:eastAsia="Arial"/>
          <w:lang w:val="en-US"/>
        </w:rPr>
        <w:t xml:space="preserve">Zeph raised </w:t>
      </w:r>
      <w:r>
        <w:rPr>
          <w:rFonts w:eastAsia="Arial"/>
          <w:lang w:val="en-US"/>
        </w:rPr>
        <w:t xml:space="preserve">both these claims </w:t>
      </w:r>
      <w:r w:rsidRPr="19E66742">
        <w:rPr>
          <w:rFonts w:eastAsia="Arial"/>
          <w:lang w:val="en-US"/>
        </w:rPr>
        <w:t xml:space="preserve">under Chapter 11 (Investment) of the AANZFTA. </w:t>
      </w:r>
    </w:p>
    <w:p w14:paraId="7E67655E" w14:textId="45C549E0" w:rsidR="009F0198" w:rsidRPr="007939C3" w:rsidRDefault="009F0198" w:rsidP="00EF4007">
      <w:r w:rsidRPr="007939C3">
        <w:t xml:space="preserve">Should </w:t>
      </w:r>
      <w:r>
        <w:t xml:space="preserve">the </w:t>
      </w:r>
      <w:r w:rsidR="001F3211">
        <w:t>Australian Government</w:t>
      </w:r>
      <w:r>
        <w:t xml:space="preserve"> </w:t>
      </w:r>
      <w:r w:rsidRPr="007939C3">
        <w:t xml:space="preserve">be unsuccessful in these proceedings, </w:t>
      </w:r>
      <w:r>
        <w:t>it</w:t>
      </w:r>
      <w:r w:rsidRPr="007939C3">
        <w:t xml:space="preserve"> would be liable for any compensation found to be payable to </w:t>
      </w:r>
      <w:r>
        <w:t>Zeph</w:t>
      </w:r>
      <w:r w:rsidRPr="007939C3">
        <w:t>. Any such potential liability cannot be quantified at this stage.</w:t>
      </w:r>
    </w:p>
    <w:p w14:paraId="5FA8C7E0" w14:textId="4B16D6D8" w:rsidR="009F0198" w:rsidRPr="00764936" w:rsidRDefault="009F0198" w:rsidP="00EF4007">
      <w:r w:rsidRPr="19E66742">
        <w:rPr>
          <w:rFonts w:eastAsia="Arial"/>
          <w:lang w:val="en-US"/>
        </w:rPr>
        <w:t xml:space="preserve">The Commonwealth has also received </w:t>
      </w:r>
      <w:r>
        <w:rPr>
          <w:rFonts w:eastAsia="Arial"/>
          <w:lang w:val="en-US"/>
        </w:rPr>
        <w:t>a</w:t>
      </w:r>
      <w:r w:rsidRPr="19E66742">
        <w:rPr>
          <w:rFonts w:eastAsia="Arial"/>
          <w:lang w:val="en-US"/>
        </w:rPr>
        <w:t xml:space="preserve"> request for consultation from Zeph concerning</w:t>
      </w:r>
      <w:r>
        <w:rPr>
          <w:rFonts w:eastAsia="Arial"/>
          <w:lang w:val="en-US"/>
        </w:rPr>
        <w:t xml:space="preserve"> an</w:t>
      </w:r>
      <w:r w:rsidRPr="19E66742">
        <w:rPr>
          <w:rFonts w:eastAsia="Arial"/>
          <w:lang w:val="en-US"/>
        </w:rPr>
        <w:t xml:space="preserve">other potential claim. </w:t>
      </w:r>
      <w:r>
        <w:rPr>
          <w:rFonts w:eastAsia="Arial"/>
          <w:lang w:val="en-US"/>
        </w:rPr>
        <w:t>An i</w:t>
      </w:r>
      <w:r w:rsidRPr="19E66742">
        <w:rPr>
          <w:rFonts w:eastAsia="Arial"/>
          <w:lang w:val="en-US"/>
        </w:rPr>
        <w:t>nvestor</w:t>
      </w:r>
      <w:r w:rsidR="00D737F9">
        <w:rPr>
          <w:rFonts w:eastAsia="Arial"/>
          <w:lang w:val="en-US"/>
        </w:rPr>
        <w:noBreakHyphen/>
      </w:r>
      <w:r w:rsidRPr="19E66742">
        <w:rPr>
          <w:rFonts w:eastAsia="Arial"/>
          <w:lang w:val="en-US"/>
        </w:rPr>
        <w:t>state claim ha</w:t>
      </w:r>
      <w:r>
        <w:rPr>
          <w:rFonts w:eastAsia="Arial"/>
          <w:lang w:val="en-US"/>
        </w:rPr>
        <w:t>s</w:t>
      </w:r>
      <w:r w:rsidRPr="19E66742">
        <w:rPr>
          <w:rFonts w:eastAsia="Arial"/>
          <w:lang w:val="en-US"/>
        </w:rPr>
        <w:t xml:space="preserve"> not been brought against </w:t>
      </w:r>
      <w:r>
        <w:rPr>
          <w:rFonts w:eastAsia="Arial"/>
          <w:lang w:val="en-US"/>
        </w:rPr>
        <w:t xml:space="preserve">the </w:t>
      </w:r>
      <w:r w:rsidR="001F3211">
        <w:rPr>
          <w:rFonts w:eastAsia="Arial"/>
          <w:lang w:val="en-US"/>
        </w:rPr>
        <w:t>Australian Government</w:t>
      </w:r>
      <w:r w:rsidRPr="19E66742">
        <w:rPr>
          <w:rFonts w:eastAsia="Arial"/>
          <w:lang w:val="en-US"/>
        </w:rPr>
        <w:t xml:space="preserve"> in relation to </w:t>
      </w:r>
      <w:r>
        <w:rPr>
          <w:rFonts w:eastAsia="Arial"/>
          <w:lang w:val="en-US"/>
        </w:rPr>
        <w:t>this</w:t>
      </w:r>
      <w:r w:rsidRPr="19E66742">
        <w:rPr>
          <w:rFonts w:eastAsia="Arial"/>
          <w:lang w:val="en-US"/>
        </w:rPr>
        <w:t xml:space="preserve"> matter at this time.</w:t>
      </w:r>
    </w:p>
    <w:p w14:paraId="6908B89C" w14:textId="77777777" w:rsidR="009F0198" w:rsidRPr="00B832E0" w:rsidRDefault="009F0198" w:rsidP="001078E4">
      <w:pPr>
        <w:pStyle w:val="Heading3"/>
      </w:pPr>
      <w:bookmarkStart w:id="29" w:name="_Toc166165491"/>
      <w:r w:rsidRPr="00B832E0">
        <w:lastRenderedPageBreak/>
        <w:t>Contingent asset – unquantifiable</w:t>
      </w:r>
      <w:bookmarkEnd w:id="29"/>
    </w:p>
    <w:p w14:paraId="0E9F2984" w14:textId="5D332135" w:rsidR="009F0198" w:rsidRPr="007939C3" w:rsidRDefault="009F0198" w:rsidP="001078E4">
      <w:pPr>
        <w:pStyle w:val="Heading4"/>
        <w:rPr>
          <w:lang w:val="en-US"/>
        </w:rPr>
      </w:pPr>
      <w:bookmarkStart w:id="30" w:name="_Hlk148351180"/>
      <w:bookmarkStart w:id="31" w:name="_Hlk148524101"/>
      <w:r w:rsidRPr="007939C3">
        <w:rPr>
          <w:iCs/>
          <w:lang w:val="en-US"/>
        </w:rPr>
        <w:t>Civil penalty relating to the</w:t>
      </w:r>
      <w:r w:rsidRPr="007939C3">
        <w:rPr>
          <w:lang w:val="en-US"/>
        </w:rPr>
        <w:t xml:space="preserve"> </w:t>
      </w:r>
      <w:r w:rsidRPr="00710D1F">
        <w:rPr>
          <w:rStyle w:val="Emphasis"/>
        </w:rPr>
        <w:t>Anti</w:t>
      </w:r>
      <w:r w:rsidR="00D737F9" w:rsidRPr="00710D1F">
        <w:rPr>
          <w:rStyle w:val="Emphasis"/>
        </w:rPr>
        <w:noBreakHyphen/>
      </w:r>
      <w:r w:rsidRPr="00710D1F">
        <w:rPr>
          <w:rStyle w:val="Emphasis"/>
        </w:rPr>
        <w:t>Money Laundering and Counter</w:t>
      </w:r>
      <w:r w:rsidR="00D737F9" w:rsidRPr="00710D1F">
        <w:rPr>
          <w:rStyle w:val="Emphasis"/>
        </w:rPr>
        <w:noBreakHyphen/>
      </w:r>
      <w:r w:rsidRPr="00710D1F">
        <w:rPr>
          <w:rStyle w:val="Emphasis"/>
        </w:rPr>
        <w:t>Terrorism Financing Act 2006</w:t>
      </w:r>
    </w:p>
    <w:bookmarkEnd w:id="30"/>
    <w:bookmarkEnd w:id="31"/>
    <w:p w14:paraId="0B087590" w14:textId="628621E7" w:rsidR="009F0198" w:rsidRPr="00AD07A8" w:rsidRDefault="009F0198" w:rsidP="001078E4">
      <w:pPr>
        <w:widowControl w:val="0"/>
        <w:spacing w:after="120" w:line="240" w:lineRule="auto"/>
        <w:rPr>
          <w:rFonts w:eastAsia="Arial"/>
          <w:lang w:val="en-US"/>
        </w:rPr>
      </w:pPr>
      <w:r w:rsidRPr="19E66742">
        <w:rPr>
          <w:rFonts w:eastAsia="Arial"/>
          <w:lang w:val="en-US"/>
        </w:rPr>
        <w:t xml:space="preserve">The Australian Transaction Reports and Analysis Centre (AUSTRAC) applied to the Federal Court of Australia for civil penalty orders against the following entities for alleged serious contraventions of the </w:t>
      </w:r>
      <w:r w:rsidRPr="00710D1F">
        <w:rPr>
          <w:rStyle w:val="Emphasis"/>
          <w:rFonts w:eastAsia="Arial"/>
        </w:rPr>
        <w:t>Anti</w:t>
      </w:r>
      <w:r w:rsidR="00D737F9" w:rsidRPr="00710D1F">
        <w:rPr>
          <w:rStyle w:val="Emphasis"/>
          <w:rFonts w:eastAsia="Arial"/>
        </w:rPr>
        <w:noBreakHyphen/>
      </w:r>
      <w:r w:rsidRPr="00710D1F">
        <w:rPr>
          <w:rStyle w:val="Emphasis"/>
          <w:rFonts w:eastAsia="Arial"/>
        </w:rPr>
        <w:t>Money Laundering and Counter</w:t>
      </w:r>
      <w:r w:rsidR="00D737F9" w:rsidRPr="00710D1F">
        <w:rPr>
          <w:rStyle w:val="Emphasis"/>
          <w:rFonts w:eastAsia="Arial"/>
        </w:rPr>
        <w:noBreakHyphen/>
      </w:r>
      <w:r w:rsidRPr="00710D1F">
        <w:rPr>
          <w:rStyle w:val="Emphasis"/>
          <w:rFonts w:eastAsia="Arial"/>
        </w:rPr>
        <w:t>Terrorism Financing Act</w:t>
      </w:r>
      <w:r w:rsidR="009A22F2" w:rsidRPr="00710D1F">
        <w:rPr>
          <w:rStyle w:val="Emphasis"/>
          <w:rFonts w:eastAsia="Arial"/>
        </w:rPr>
        <w:t> </w:t>
      </w:r>
      <w:r w:rsidRPr="00710D1F">
        <w:rPr>
          <w:rStyle w:val="Emphasis"/>
          <w:rFonts w:eastAsia="Arial"/>
        </w:rPr>
        <w:t>2006</w:t>
      </w:r>
      <w:r w:rsidRPr="19E66742">
        <w:rPr>
          <w:rFonts w:eastAsia="Arial"/>
          <w:lang w:val="en-US"/>
        </w:rPr>
        <w:t xml:space="preserve"> (AML/CTF Act):</w:t>
      </w:r>
    </w:p>
    <w:p w14:paraId="5E92C929" w14:textId="2B252959" w:rsidR="009F0198" w:rsidRPr="008503C8" w:rsidRDefault="009F0198" w:rsidP="008503C8">
      <w:pPr>
        <w:pStyle w:val="Bullet"/>
        <w:rPr>
          <w:rFonts w:eastAsia="Arial"/>
        </w:rPr>
      </w:pPr>
      <w:r w:rsidRPr="00785F3E">
        <w:rPr>
          <w:rFonts w:eastAsia="Arial"/>
        </w:rPr>
        <w:t xml:space="preserve">the Star Pty Limited and the Star </w:t>
      </w:r>
      <w:r w:rsidRPr="008503C8">
        <w:rPr>
          <w:rFonts w:eastAsia="Arial"/>
        </w:rPr>
        <w:t>Entertainment QLD Limited on 30</w:t>
      </w:r>
      <w:r w:rsidR="00D9795C" w:rsidRPr="008503C8">
        <w:rPr>
          <w:rFonts w:eastAsia="Arial"/>
        </w:rPr>
        <w:t> November </w:t>
      </w:r>
      <w:r w:rsidRPr="008503C8">
        <w:rPr>
          <w:rFonts w:eastAsia="Arial"/>
        </w:rPr>
        <w:t>2022.</w:t>
      </w:r>
    </w:p>
    <w:p w14:paraId="403C1E69" w14:textId="63315353" w:rsidR="009F0198" w:rsidRPr="00AD07A8" w:rsidRDefault="009F0198" w:rsidP="008503C8">
      <w:pPr>
        <w:pStyle w:val="Bullet"/>
        <w:rPr>
          <w:rFonts w:eastAsia="Arial"/>
        </w:rPr>
      </w:pPr>
      <w:r w:rsidRPr="008503C8">
        <w:rPr>
          <w:rFonts w:eastAsia="Arial"/>
        </w:rPr>
        <w:t>SkyCity Adelaide (SkyCity) on 7</w:t>
      </w:r>
      <w:r w:rsidR="00D9795C" w:rsidRPr="008503C8">
        <w:rPr>
          <w:rFonts w:eastAsia="Arial"/>
        </w:rPr>
        <w:t> De</w:t>
      </w:r>
      <w:r w:rsidR="00D9795C">
        <w:rPr>
          <w:rFonts w:eastAsia="Arial"/>
        </w:rPr>
        <w:t>cember </w:t>
      </w:r>
      <w:r w:rsidRPr="5FD85D70">
        <w:rPr>
          <w:rFonts w:eastAsia="Arial"/>
        </w:rPr>
        <w:t>2022.</w:t>
      </w:r>
    </w:p>
    <w:p w14:paraId="5D6766ED" w14:textId="77777777" w:rsidR="009F0198" w:rsidRPr="00AD07A8" w:rsidRDefault="009F0198" w:rsidP="005F0CD0">
      <w:pPr>
        <w:rPr>
          <w:rFonts w:eastAsia="Arial"/>
          <w:lang w:val="en-US"/>
        </w:rPr>
      </w:pPr>
      <w:r w:rsidRPr="19E66742">
        <w:rPr>
          <w:rFonts w:eastAsia="Arial"/>
          <w:lang w:val="en-US"/>
        </w:rPr>
        <w:t xml:space="preserve">AUSTRAC alleges that these entities failed to comply with obligations under the AML/CTF Act, including failures to properly assess money laundering and terrorism financing risks, and failures to undertake appropriate customer due diligence. </w:t>
      </w:r>
    </w:p>
    <w:p w14:paraId="62E4888F" w14:textId="77777777" w:rsidR="009F0198" w:rsidRPr="00AD07A8" w:rsidRDefault="009F0198" w:rsidP="005F0CD0">
      <w:pPr>
        <w:rPr>
          <w:rFonts w:eastAsia="Arial"/>
          <w:lang w:val="en-US"/>
        </w:rPr>
      </w:pPr>
      <w:r w:rsidRPr="19E66742">
        <w:rPr>
          <w:rFonts w:eastAsia="Arial"/>
          <w:lang w:val="en-US"/>
        </w:rPr>
        <w:t>The outcomes of these matters are unknown, including whether any penalties will be imposed by the Court and, if so, the quantum of any penalties.</w:t>
      </w:r>
    </w:p>
    <w:p w14:paraId="7457B674" w14:textId="151BF090" w:rsidR="009F0198" w:rsidRDefault="009F0198" w:rsidP="005F0CD0">
      <w:pPr>
        <w:rPr>
          <w:rFonts w:eastAsia="Arial"/>
          <w:lang w:val="en-US"/>
        </w:rPr>
      </w:pPr>
      <w:r>
        <w:rPr>
          <w:rFonts w:eastAsia="Arial"/>
          <w:lang w:val="en-US"/>
        </w:rPr>
        <w:t>In respect of the SkyCity matter, AUSTRAC has reached an in</w:t>
      </w:r>
      <w:r w:rsidR="00D737F9">
        <w:rPr>
          <w:rFonts w:eastAsia="Arial"/>
          <w:lang w:val="en-US"/>
        </w:rPr>
        <w:noBreakHyphen/>
      </w:r>
      <w:r>
        <w:rPr>
          <w:rFonts w:eastAsia="Arial"/>
          <w:lang w:val="en-US"/>
        </w:rPr>
        <w:t>principle agreement with SkyCity for SkyCity to pay a civil pecuniary penalty. The amount of the proposed penalty remains confidential and settlement is not finalised unless or until the parties reach a final agreement with agreed facts and admissions acceptable to AUSTRAC. If an agreement is reached, it remains subject to the Court</w:t>
      </w:r>
      <w:r w:rsidR="00D737F9">
        <w:rPr>
          <w:rFonts w:eastAsia="Arial"/>
          <w:lang w:val="en-US"/>
        </w:rPr>
        <w:t>’</w:t>
      </w:r>
      <w:r>
        <w:rPr>
          <w:rFonts w:eastAsia="Arial"/>
          <w:lang w:val="en-US"/>
        </w:rPr>
        <w:t>s decision as to whether to make the orders agreed, including whether the proposed penalty is appropriate. As neither final agreement with SkyCity has been reached, nor the Court</w:t>
      </w:r>
      <w:r w:rsidR="00D737F9">
        <w:rPr>
          <w:rFonts w:eastAsia="Arial"/>
          <w:lang w:val="en-US"/>
        </w:rPr>
        <w:t>’</w:t>
      </w:r>
      <w:r>
        <w:rPr>
          <w:rFonts w:eastAsia="Arial"/>
          <w:lang w:val="en-US"/>
        </w:rPr>
        <w:t xml:space="preserve">s judgment made, this remains an unquantifiable contingent asset. </w:t>
      </w:r>
    </w:p>
    <w:p w14:paraId="72A13625" w14:textId="77777777" w:rsidR="00DB146A" w:rsidRPr="00440A8F" w:rsidRDefault="00DB146A" w:rsidP="00440A8F">
      <w:r w:rsidRPr="00440A8F">
        <w:br w:type="page"/>
      </w:r>
    </w:p>
    <w:p w14:paraId="066241D6" w14:textId="407C10E7" w:rsidR="009D70F5" w:rsidRPr="00B832E0" w:rsidRDefault="009D70F5" w:rsidP="001078E4">
      <w:pPr>
        <w:pStyle w:val="Heading2"/>
      </w:pPr>
      <w:bookmarkStart w:id="32" w:name="_Toc166165492"/>
      <w:r w:rsidRPr="00B832E0">
        <w:lastRenderedPageBreak/>
        <w:t>Climate Change, Energy, the Environment and Water</w:t>
      </w:r>
      <w:bookmarkEnd w:id="32"/>
    </w:p>
    <w:p w14:paraId="3D0EA631" w14:textId="77777777" w:rsidR="00F81BE8" w:rsidRDefault="00F81BE8" w:rsidP="001078E4">
      <w:pPr>
        <w:pStyle w:val="Heading3"/>
      </w:pPr>
      <w:bookmarkStart w:id="33" w:name="_Toc166165493"/>
      <w:r w:rsidRPr="00B832E0">
        <w:t>Fiscal Risk</w:t>
      </w:r>
      <w:bookmarkEnd w:id="33"/>
    </w:p>
    <w:p w14:paraId="760A7752" w14:textId="0D8DE265" w:rsidR="00F81BE8" w:rsidRPr="00B832E0" w:rsidRDefault="00F81BE8" w:rsidP="001078E4">
      <w:pPr>
        <w:pStyle w:val="Heading4"/>
      </w:pPr>
      <w:bookmarkStart w:id="34" w:name="_Toc71117834"/>
      <w:r w:rsidRPr="00B832E0">
        <w:t>Snowy Hydro Limited</w:t>
      </w:r>
      <w:bookmarkEnd w:id="34"/>
    </w:p>
    <w:p w14:paraId="0A90769C" w14:textId="4BB99ABE" w:rsidR="00F81BE8" w:rsidRPr="00C02198" w:rsidRDefault="00F81BE8" w:rsidP="00BB23E1">
      <w:pPr>
        <w:rPr>
          <w:rFonts w:eastAsia="Book Antiqua"/>
        </w:rPr>
      </w:pPr>
      <w:r w:rsidRPr="00C02198">
        <w:rPr>
          <w:rFonts w:eastAsia="Book Antiqua"/>
        </w:rPr>
        <w:t xml:space="preserve">The </w:t>
      </w:r>
      <w:r w:rsidR="001F3211">
        <w:rPr>
          <w:rFonts w:eastAsia="Book Antiqua"/>
        </w:rPr>
        <w:t>Australian Government</w:t>
      </w:r>
      <w:r w:rsidRPr="00C02198">
        <w:rPr>
          <w:rFonts w:eastAsia="Book Antiqua"/>
        </w:rPr>
        <w:t xml:space="preserve"> has committed to provide additional </w:t>
      </w:r>
      <w:r>
        <w:rPr>
          <w:rFonts w:eastAsia="Book Antiqua"/>
        </w:rPr>
        <w:t>financial support</w:t>
      </w:r>
      <w:r w:rsidRPr="00C02198">
        <w:rPr>
          <w:rFonts w:eastAsia="Book Antiqua"/>
        </w:rPr>
        <w:t xml:space="preserve"> to Snowy Hydro Limited to support the delivery of the Snowy 2.0 pumped hydro project and the Hunter Power Project. These projects will improve the security and reliability of the National Electricity Market by providing reliable, dispatchable power and large</w:t>
      </w:r>
      <w:r w:rsidR="00D737F9">
        <w:rPr>
          <w:rFonts w:eastAsia="Book Antiqua"/>
        </w:rPr>
        <w:noBreakHyphen/>
      </w:r>
      <w:r w:rsidRPr="00C02198">
        <w:rPr>
          <w:rFonts w:eastAsia="Book Antiqua"/>
        </w:rPr>
        <w:t xml:space="preserve">scale energy storage. Project risks for both projects include potential construction delays, cost pressures and cash flow forecasts. </w:t>
      </w:r>
    </w:p>
    <w:p w14:paraId="6322EED9" w14:textId="185C5C00" w:rsidR="00F81BE8" w:rsidRPr="00C02198" w:rsidRDefault="00F81BE8" w:rsidP="00BB23E1">
      <w:pPr>
        <w:rPr>
          <w:rFonts w:eastAsia="Book Antiqua"/>
        </w:rPr>
      </w:pPr>
      <w:r w:rsidRPr="00C02198">
        <w:rPr>
          <w:rFonts w:eastAsia="Book Antiqua"/>
        </w:rPr>
        <w:t>The Government continues to monitor these risks through engagement and oversight of Snowy Hydro</w:t>
      </w:r>
      <w:r w:rsidR="006D5F38">
        <w:rPr>
          <w:rFonts w:eastAsia="Book Antiqua"/>
        </w:rPr>
        <w:t xml:space="preserve"> Limited</w:t>
      </w:r>
      <w:r w:rsidRPr="00C02198">
        <w:rPr>
          <w:rFonts w:eastAsia="Book Antiqua"/>
        </w:rPr>
        <w:t>.</w:t>
      </w:r>
    </w:p>
    <w:p w14:paraId="4E31F32B" w14:textId="77777777" w:rsidR="00F81BE8" w:rsidRPr="00B832E0" w:rsidRDefault="00F81BE8" w:rsidP="001078E4">
      <w:pPr>
        <w:pStyle w:val="Heading3"/>
      </w:pPr>
      <w:bookmarkStart w:id="35" w:name="_Toc166165494"/>
      <w:r w:rsidRPr="00B832E0">
        <w:t>Significant but remote contingencies</w:t>
      </w:r>
      <w:bookmarkEnd w:id="35"/>
    </w:p>
    <w:p w14:paraId="6D4A8785" w14:textId="4F767B7F" w:rsidR="00F81BE8" w:rsidRPr="00B832E0" w:rsidRDefault="00F81BE8" w:rsidP="001078E4">
      <w:pPr>
        <w:pStyle w:val="Heading4"/>
      </w:pPr>
      <w:bookmarkStart w:id="36" w:name="_Toc71117836"/>
      <w:r w:rsidRPr="00B832E0">
        <w:t>Snowy Hydro Limited – Board Members</w:t>
      </w:r>
      <w:r w:rsidR="00D737F9">
        <w:t>’</w:t>
      </w:r>
      <w:r w:rsidRPr="00B832E0">
        <w:t xml:space="preserve"> indemnity</w:t>
      </w:r>
      <w:bookmarkEnd w:id="36"/>
    </w:p>
    <w:p w14:paraId="5F3DDD6B" w14:textId="569BF5C4" w:rsidR="00F81BE8" w:rsidRPr="00C02198" w:rsidRDefault="00F81BE8" w:rsidP="00BB23E1">
      <w:pPr>
        <w:rPr>
          <w:rFonts w:eastAsia="Book Antiqua"/>
        </w:rPr>
      </w:pPr>
      <w:r w:rsidRPr="00C02198">
        <w:rPr>
          <w:rFonts w:eastAsia="Book Antiqua"/>
        </w:rPr>
        <w:t xml:space="preserve">The </w:t>
      </w:r>
      <w:r w:rsidR="001F3211">
        <w:rPr>
          <w:rFonts w:eastAsia="Book Antiqua"/>
        </w:rPr>
        <w:t>Australian Government</w:t>
      </w:r>
      <w:r w:rsidRPr="00C02198">
        <w:rPr>
          <w:rFonts w:eastAsia="Book Antiqua"/>
        </w:rPr>
        <w:t xml:space="preserve"> has provided an indemnity for each of the Directors of Snowy</w:t>
      </w:r>
      <w:r w:rsidR="00EF4007">
        <w:rPr>
          <w:rFonts w:eastAsia="Book Antiqua"/>
        </w:rPr>
        <w:t> </w:t>
      </w:r>
      <w:r w:rsidRPr="00C02198">
        <w:rPr>
          <w:rFonts w:eastAsia="Book Antiqua"/>
        </w:rPr>
        <w:t>Hydro Limited to protect them against certain claims relating to their employment as Directors. Until the indemnity agreements are varied or ceased, they will remain as contingent and unquantifiable liabilities.</w:t>
      </w:r>
    </w:p>
    <w:p w14:paraId="6364457C" w14:textId="77777777" w:rsidR="00F81BE8" w:rsidRPr="00B832E0" w:rsidRDefault="00F81BE8" w:rsidP="00164448">
      <w:pPr>
        <w:pStyle w:val="Heading4"/>
      </w:pPr>
      <w:bookmarkStart w:id="37" w:name="_Toc71117837"/>
      <w:r w:rsidRPr="00B832E0">
        <w:t xml:space="preserve">Snowy Hydro Limited – Termination of </w:t>
      </w:r>
      <w:r w:rsidRPr="00164448">
        <w:t>the</w:t>
      </w:r>
      <w:r w:rsidRPr="00B832E0">
        <w:t xml:space="preserve"> Equity Subscription Agreement</w:t>
      </w:r>
      <w:bookmarkEnd w:id="37"/>
      <w:r w:rsidRPr="00B832E0">
        <w:t>s</w:t>
      </w:r>
    </w:p>
    <w:p w14:paraId="18CA8A4E" w14:textId="1A4F80DC" w:rsidR="00F81BE8" w:rsidRPr="00C02198" w:rsidRDefault="00F81BE8" w:rsidP="00EF4007">
      <w:pPr>
        <w:rPr>
          <w:rFonts w:eastAsia="Book Antiqua"/>
        </w:rPr>
      </w:pPr>
      <w:r w:rsidRPr="00BB23E1">
        <w:rPr>
          <w:rFonts w:eastAsia="Book Antiqua"/>
        </w:rPr>
        <w:t xml:space="preserve">The </w:t>
      </w:r>
      <w:r w:rsidR="001F3211" w:rsidRPr="00BB23E1">
        <w:rPr>
          <w:rFonts w:eastAsia="Book Antiqua"/>
        </w:rPr>
        <w:t>Australian Government</w:t>
      </w:r>
      <w:r w:rsidRPr="00BB23E1">
        <w:rPr>
          <w:rFonts w:eastAsia="Book Antiqua"/>
        </w:rPr>
        <w:t xml:space="preserve"> will provide sufficient funding to cover costs and liabilities incurred by Snowy Hydro Limited for the delivery of Snowy 2.0, capped to the total remaining undrawn equity, in the event that the Commonwealth terminates the Equity</w:t>
      </w:r>
      <w:r w:rsidRPr="00C02198">
        <w:rPr>
          <w:rFonts w:eastAsia="Book Antiqua"/>
        </w:rPr>
        <w:t xml:space="preserve"> Subscription Agreements between the Commonwealth and Snowy Hydro Limited.</w:t>
      </w:r>
    </w:p>
    <w:p w14:paraId="2D288729" w14:textId="77777777" w:rsidR="00F81BE8" w:rsidRPr="00363E84" w:rsidRDefault="00F81BE8" w:rsidP="00426447">
      <w:pPr>
        <w:pStyle w:val="Heading4"/>
        <w:rPr>
          <w:rFonts w:eastAsia="Arial"/>
          <w:lang w:val="en-US"/>
        </w:rPr>
      </w:pPr>
      <w:r w:rsidRPr="1E8B5766">
        <w:rPr>
          <w:rFonts w:eastAsia="Arial"/>
          <w:lang w:val="en-US"/>
        </w:rPr>
        <w:t xml:space="preserve">Underwriting of </w:t>
      </w:r>
      <w:r>
        <w:rPr>
          <w:rFonts w:eastAsia="Arial"/>
          <w:lang w:val="en-US"/>
        </w:rPr>
        <w:t>t</w:t>
      </w:r>
      <w:r w:rsidRPr="1E8B5766">
        <w:rPr>
          <w:rFonts w:eastAsia="Arial"/>
          <w:lang w:val="en-US"/>
        </w:rPr>
        <w:t xml:space="preserve">ransmission </w:t>
      </w:r>
      <w:r>
        <w:rPr>
          <w:rFonts w:eastAsia="Arial"/>
          <w:lang w:val="en-US"/>
        </w:rPr>
        <w:t>p</w:t>
      </w:r>
      <w:r w:rsidRPr="1E8B5766">
        <w:rPr>
          <w:rFonts w:eastAsia="Arial"/>
          <w:lang w:val="en-US"/>
        </w:rPr>
        <w:t>rojects</w:t>
      </w:r>
    </w:p>
    <w:p w14:paraId="06D60BE9" w14:textId="201CCA65" w:rsidR="00F81BE8" w:rsidRPr="00B832E0" w:rsidRDefault="00F81BE8" w:rsidP="001078E4">
      <w:r>
        <w:t xml:space="preserve">The </w:t>
      </w:r>
      <w:r w:rsidR="001F3211">
        <w:t>Australian Government</w:t>
      </w:r>
      <w:r>
        <w:t xml:space="preserve"> has underwritten up to:</w:t>
      </w:r>
    </w:p>
    <w:p w14:paraId="5C939F38" w14:textId="7C8DF7DA" w:rsidR="00F81BE8" w:rsidRPr="00C9551B" w:rsidRDefault="00F81BE8" w:rsidP="001078E4">
      <w:pPr>
        <w:pStyle w:val="Bullet"/>
        <w:ind w:left="283" w:hanging="283"/>
      </w:pPr>
      <w:r w:rsidRPr="00C9551B">
        <w:t>$75.8</w:t>
      </w:r>
      <w:r w:rsidR="0025721E">
        <w:t> </w:t>
      </w:r>
      <w:r w:rsidRPr="00C9551B">
        <w:t>million for early works for the Victoria to New South Wales Interconnector West</w:t>
      </w:r>
      <w:r>
        <w:t xml:space="preserve"> </w:t>
      </w:r>
      <w:r w:rsidRPr="00C9551B">
        <w:t>(VNI West) NSW Section project (with a preferred route known as KerangLink)</w:t>
      </w:r>
      <w:r>
        <w:t xml:space="preserve"> </w:t>
      </w:r>
      <w:r w:rsidRPr="00C9551B">
        <w:t>(signed</w:t>
      </w:r>
      <w:r w:rsidR="00EB5054">
        <w:t> </w:t>
      </w:r>
      <w:r w:rsidRPr="00C9551B">
        <w:t>7</w:t>
      </w:r>
      <w:r w:rsidR="00D9795C">
        <w:t> April </w:t>
      </w:r>
      <w:r w:rsidRPr="00C9551B">
        <w:t>2022).</w:t>
      </w:r>
    </w:p>
    <w:p w14:paraId="264FFC50" w14:textId="55E31CE2" w:rsidR="00F81BE8" w:rsidRPr="00C9551B" w:rsidRDefault="00F81BE8" w:rsidP="001078E4">
      <w:pPr>
        <w:pStyle w:val="Bullet"/>
        <w:ind w:left="283" w:hanging="283"/>
      </w:pPr>
      <w:r w:rsidRPr="00C9551B">
        <w:t>$181.5</w:t>
      </w:r>
      <w:r w:rsidR="0025721E">
        <w:t> </w:t>
      </w:r>
      <w:r w:rsidRPr="00C9551B">
        <w:t>million for the Coleambally to Wagga Wagga section of Project EnergyConnect (signed 24</w:t>
      </w:r>
      <w:r w:rsidR="00440A8F">
        <w:t> </w:t>
      </w:r>
      <w:r w:rsidRPr="00C9551B">
        <w:t>September</w:t>
      </w:r>
      <w:r w:rsidR="00440A8F">
        <w:t> </w:t>
      </w:r>
      <w:r w:rsidRPr="00C9551B">
        <w:t xml:space="preserve">2021). </w:t>
      </w:r>
    </w:p>
    <w:p w14:paraId="658F6226" w14:textId="77A90501" w:rsidR="00F81BE8" w:rsidRPr="006460F9" w:rsidRDefault="00F81BE8" w:rsidP="001078E4">
      <w:pPr>
        <w:pStyle w:val="Bullet"/>
        <w:ind w:left="283" w:hanging="283"/>
      </w:pPr>
      <w:r w:rsidRPr="00C9551B">
        <w:t>$146.3</w:t>
      </w:r>
      <w:r w:rsidR="0025721E">
        <w:t> </w:t>
      </w:r>
      <w:r w:rsidRPr="00C9551B">
        <w:t>million for the early procurement of long lead equipment (transformers, reactors, towers and conductors) for the VNI West NSW section project and the Humelink project (signed 1</w:t>
      </w:r>
      <w:r w:rsidR="00D9795C">
        <w:t> March </w:t>
      </w:r>
      <w:r w:rsidRPr="00C9551B">
        <w:t>2023).</w:t>
      </w:r>
    </w:p>
    <w:p w14:paraId="48B54AE2" w14:textId="77777777" w:rsidR="00F81BE8" w:rsidRDefault="00F81BE8" w:rsidP="001078E4">
      <w:r>
        <w:lastRenderedPageBreak/>
        <w:t>The conditions in which these underwriting agreements would be called on relate to the projects not achieving regulatory and approval requirements.</w:t>
      </w:r>
    </w:p>
    <w:p w14:paraId="6E069C56" w14:textId="77777777" w:rsidR="00F81BE8" w:rsidRPr="00B832E0" w:rsidRDefault="00F81BE8" w:rsidP="001078E4">
      <w:pPr>
        <w:pStyle w:val="Heading3"/>
        <w:rPr>
          <w:rFonts w:ascii="Arial" w:eastAsia="Arial" w:hAnsi="Arial" w:cs="Arial"/>
          <w:bCs/>
          <w:lang w:val="en-US"/>
        </w:rPr>
      </w:pPr>
      <w:bookmarkStart w:id="38" w:name="_Toc166165495"/>
      <w:r w:rsidRPr="00B832E0">
        <w:rPr>
          <w:rFonts w:ascii="Arial" w:eastAsia="Arial" w:hAnsi="Arial" w:cs="Arial"/>
          <w:bCs/>
          <w:lang w:val="en-US"/>
        </w:rPr>
        <w:t>Contingent liabilities – unquantifiable</w:t>
      </w:r>
      <w:bookmarkEnd w:id="38"/>
    </w:p>
    <w:p w14:paraId="0EA88016" w14:textId="528D724B" w:rsidR="00F81BE8" w:rsidRPr="00B832E0" w:rsidRDefault="00F81BE8" w:rsidP="001078E4">
      <w:pPr>
        <w:pStyle w:val="Heading4"/>
      </w:pPr>
      <w:r w:rsidRPr="00B832E0">
        <w:t>Gorgon liquefied natural gas and carbon dioxide storage project – long</w:t>
      </w:r>
      <w:r w:rsidR="00032890">
        <w:noBreakHyphen/>
      </w:r>
      <w:r w:rsidRPr="00B832E0">
        <w:t>term</w:t>
      </w:r>
      <w:r w:rsidR="00032890">
        <w:t> </w:t>
      </w:r>
      <w:r w:rsidRPr="00B832E0">
        <w:t>liability</w:t>
      </w:r>
    </w:p>
    <w:p w14:paraId="714694BF" w14:textId="54B40754" w:rsidR="00F81BE8" w:rsidRPr="00A7305A" w:rsidRDefault="00F81BE8" w:rsidP="00BB23E1">
      <w:r w:rsidRPr="00A7305A">
        <w:t>The Australian and Western Australian (WA) Governments have provided an indemnity to the Gorgon Joint Venture Partners (GJV) against independent third</w:t>
      </w:r>
      <w:r w:rsidR="00D737F9">
        <w:noBreakHyphen/>
      </w:r>
      <w:r w:rsidRPr="00A7305A">
        <w:t>party claims (relating to stored carbon dioxide) under common law, for loss or damage caused by the injection of carbon dioxide into the Dupuy formation under Barrow Island, WA. C</w:t>
      </w:r>
      <w:r w:rsidRPr="003E5439">
        <w:t>laims can only occur at least 15 years after the cessation of carbon dioxide injections into the formation. The project commenced in 2019 and has an expected life of around 40</w:t>
      </w:r>
      <w:r w:rsidR="00F3274C">
        <w:t> </w:t>
      </w:r>
      <w:r w:rsidRPr="003E5439">
        <w:t>years.</w:t>
      </w:r>
      <w:r w:rsidRPr="00A7305A">
        <w:t xml:space="preserve"> The claims are subject to conditions similar to those set out in the </w:t>
      </w:r>
      <w:r w:rsidRPr="00164448">
        <w:rPr>
          <w:rStyle w:val="Emphasis"/>
        </w:rPr>
        <w:t>Offshore Petroleum and Greenhouse Gas Storage Act</w:t>
      </w:r>
      <w:r w:rsidR="007D463A" w:rsidRPr="00164448">
        <w:rPr>
          <w:rStyle w:val="Emphasis"/>
        </w:rPr>
        <w:t> </w:t>
      </w:r>
      <w:r w:rsidRPr="00164448">
        <w:rPr>
          <w:rStyle w:val="Emphasis"/>
        </w:rPr>
        <w:t>2006</w:t>
      </w:r>
      <w:r w:rsidRPr="00A7305A">
        <w:t>.</w:t>
      </w:r>
    </w:p>
    <w:p w14:paraId="3BC54B8A" w14:textId="478D6ECE" w:rsidR="00F81BE8" w:rsidRPr="00A7305A" w:rsidDel="0088212A" w:rsidRDefault="00F81BE8" w:rsidP="00BB23E1">
      <w:pPr>
        <w:rPr>
          <w:rFonts w:eastAsia="Arial"/>
        </w:rPr>
      </w:pPr>
      <w:r w:rsidRPr="00B832E0">
        <w:t>The WA Government has indemnified the GJV and</w:t>
      </w:r>
      <w:r w:rsidRPr="00A7305A">
        <w:t>, subject to certain conditions being met,</w:t>
      </w:r>
      <w:r w:rsidRPr="00B832E0">
        <w:t xml:space="preserve"> the </w:t>
      </w:r>
      <w:r w:rsidR="001F3211">
        <w:t>Australian Government</w:t>
      </w:r>
      <w:r w:rsidRPr="00B832E0">
        <w:t xml:space="preserve"> has indemnified the WA Government for 80</w:t>
      </w:r>
      <w:r w:rsidR="00BD3D7E">
        <w:t> per cent</w:t>
      </w:r>
      <w:r w:rsidRPr="00B832E0">
        <w:t xml:space="preserve"> of any amount determined to be payable under that indemnity.</w:t>
      </w:r>
    </w:p>
    <w:p w14:paraId="1AEFB331" w14:textId="77777777" w:rsidR="00F81BE8" w:rsidRPr="00B832E0" w:rsidRDefault="00F81BE8" w:rsidP="00272A7E">
      <w:pPr>
        <w:pStyle w:val="Heading4"/>
      </w:pPr>
      <w:bookmarkStart w:id="39" w:name="_Toc71117845"/>
      <w:r w:rsidRPr="00B832E0">
        <w:t>Liability for costs incurred in a national liquid fuel emergency</w:t>
      </w:r>
      <w:bookmarkEnd w:id="39"/>
    </w:p>
    <w:p w14:paraId="78BA3245" w14:textId="308E461D" w:rsidR="00F81BE8" w:rsidRPr="00D64750" w:rsidRDefault="00F81BE8" w:rsidP="00272A7E">
      <w:pPr>
        <w:rPr>
          <w:rFonts w:eastAsia="Arial"/>
          <w:lang w:val="en-US"/>
        </w:rPr>
      </w:pPr>
      <w:r w:rsidRPr="1E8B5766">
        <w:rPr>
          <w:rFonts w:eastAsia="Arial"/>
          <w:lang w:val="en-US"/>
        </w:rPr>
        <w:t xml:space="preserve">The </w:t>
      </w:r>
      <w:r w:rsidR="001F3211">
        <w:rPr>
          <w:rFonts w:eastAsia="Arial"/>
          <w:lang w:val="en-US"/>
        </w:rPr>
        <w:t>Australian Government</w:t>
      </w:r>
      <w:r w:rsidRPr="1E8B5766">
        <w:rPr>
          <w:rFonts w:eastAsia="Arial"/>
          <w:lang w:val="en-US"/>
        </w:rPr>
        <w:t xml:space="preserve"> has responsibility for the </w:t>
      </w:r>
      <w:r w:rsidRPr="00164448">
        <w:rPr>
          <w:rStyle w:val="Emphasis"/>
          <w:rFonts w:eastAsia="Arial"/>
        </w:rPr>
        <w:t>Liquid Fuel Emergency Act</w:t>
      </w:r>
      <w:r w:rsidR="009A22F2" w:rsidRPr="00164448">
        <w:rPr>
          <w:rStyle w:val="Emphasis"/>
          <w:rFonts w:eastAsia="Arial"/>
        </w:rPr>
        <w:t> </w:t>
      </w:r>
      <w:r w:rsidRPr="00164448">
        <w:rPr>
          <w:rStyle w:val="Emphasis"/>
          <w:rFonts w:eastAsia="Arial"/>
        </w:rPr>
        <w:t>1984</w:t>
      </w:r>
      <w:r w:rsidRPr="1E8B5766">
        <w:rPr>
          <w:rFonts w:eastAsia="Arial"/>
          <w:lang w:val="en-US"/>
        </w:rPr>
        <w:t xml:space="preserve"> (the</w:t>
      </w:r>
      <w:r w:rsidR="00BB23E1">
        <w:rPr>
          <w:rFonts w:eastAsia="Arial"/>
          <w:lang w:val="en-US"/>
        </w:rPr>
        <w:t> </w:t>
      </w:r>
      <w:r>
        <w:rPr>
          <w:rFonts w:eastAsia="Arial"/>
          <w:lang w:val="en-US"/>
        </w:rPr>
        <w:t xml:space="preserve">Liquid Fuel </w:t>
      </w:r>
      <w:r w:rsidRPr="1E8B5766">
        <w:rPr>
          <w:rFonts w:eastAsia="Arial"/>
          <w:lang w:val="en-US"/>
        </w:rPr>
        <w:t xml:space="preserve">Act). In addition, the </w:t>
      </w:r>
      <w:r w:rsidR="001F3211">
        <w:rPr>
          <w:rFonts w:eastAsia="Arial"/>
          <w:lang w:val="en-US"/>
        </w:rPr>
        <w:t>Australian Government</w:t>
      </w:r>
      <w:r w:rsidRPr="00272A7E">
        <w:rPr>
          <w:rFonts w:eastAsia="Arial"/>
        </w:rPr>
        <w:t xml:space="preserve"> and state and territory governments have entered into an inter</w:t>
      </w:r>
      <w:r w:rsidR="00D737F9">
        <w:rPr>
          <w:rFonts w:eastAsia="Arial"/>
        </w:rPr>
        <w:noBreakHyphen/>
      </w:r>
      <w:r w:rsidRPr="00272A7E">
        <w:rPr>
          <w:rFonts w:eastAsia="Arial"/>
        </w:rPr>
        <w:t xml:space="preserve">governmental agreement (IGA) in 2006 in relation to a national liquid fuel emergency. Under the IGA, the </w:t>
      </w:r>
      <w:r w:rsidR="001F3211">
        <w:rPr>
          <w:rFonts w:eastAsia="Arial"/>
        </w:rPr>
        <w:t>Australian Government</w:t>
      </w:r>
      <w:r w:rsidRPr="00272A7E">
        <w:rPr>
          <w:rFonts w:eastAsia="Arial"/>
        </w:rPr>
        <w:t xml:space="preserve"> agrees to consult IGA parties on a likely shortage and, if necessary after those consultations, to advise the Governor</w:t>
      </w:r>
      <w:r w:rsidR="00D737F9">
        <w:rPr>
          <w:rFonts w:eastAsia="Arial"/>
        </w:rPr>
        <w:noBreakHyphen/>
      </w:r>
      <w:r w:rsidRPr="00272A7E">
        <w:rPr>
          <w:rFonts w:eastAsia="Arial"/>
        </w:rPr>
        <w:t>General of the Commonwealth of Australia to declare a national emergency under the Act.</w:t>
      </w:r>
    </w:p>
    <w:p w14:paraId="1A27683F" w14:textId="510595B6" w:rsidR="00F81BE8" w:rsidRDefault="00F81BE8" w:rsidP="00272A7E">
      <w:pPr>
        <w:rPr>
          <w:rFonts w:eastAsia="Arial"/>
          <w:lang w:val="en-US"/>
        </w:rPr>
      </w:pPr>
      <w:r w:rsidRPr="1E8B5766">
        <w:rPr>
          <w:rFonts w:eastAsia="Arial"/>
          <w:lang w:val="en-US"/>
        </w:rPr>
        <w:t xml:space="preserve">The IGA contains </w:t>
      </w:r>
      <w:r>
        <w:rPr>
          <w:rFonts w:eastAsia="Arial"/>
          <w:lang w:val="en-US"/>
        </w:rPr>
        <w:t>three</w:t>
      </w:r>
      <w:r w:rsidRPr="1E8B5766">
        <w:rPr>
          <w:rFonts w:eastAsia="Arial"/>
          <w:lang w:val="en-US"/>
        </w:rPr>
        <w:t xml:space="preserve"> areas where the </w:t>
      </w:r>
      <w:r w:rsidR="001F3211">
        <w:rPr>
          <w:rFonts w:eastAsia="Arial"/>
          <w:lang w:val="en-US"/>
        </w:rPr>
        <w:t>Australian Government</w:t>
      </w:r>
      <w:r w:rsidRPr="1E8B5766">
        <w:rPr>
          <w:rFonts w:eastAsia="Arial"/>
          <w:lang w:val="en-US"/>
        </w:rPr>
        <w:t xml:space="preserve"> may incur expenses in the</w:t>
      </w:r>
      <w:r w:rsidR="00BB23E1">
        <w:rPr>
          <w:rFonts w:eastAsia="Arial"/>
          <w:lang w:val="en-US"/>
        </w:rPr>
        <w:t> </w:t>
      </w:r>
      <w:r w:rsidRPr="1E8B5766">
        <w:rPr>
          <w:rFonts w:eastAsia="Arial"/>
          <w:lang w:val="en-US"/>
        </w:rPr>
        <w:t>unlikely event of a national liquid fuel emergency. These relate to the direct costs of</w:t>
      </w:r>
      <w:r w:rsidR="00BB23E1">
        <w:rPr>
          <w:rFonts w:eastAsia="Arial"/>
          <w:lang w:val="en-US"/>
        </w:rPr>
        <w:t> </w:t>
      </w:r>
      <w:r w:rsidRPr="1E8B5766">
        <w:rPr>
          <w:rFonts w:eastAsia="Arial"/>
          <w:lang w:val="en-US"/>
        </w:rPr>
        <w:t xml:space="preserve">managing a liquid fuel emergency and include the possibility of the </w:t>
      </w:r>
      <w:r w:rsidR="001F3211">
        <w:rPr>
          <w:rFonts w:eastAsia="Arial"/>
          <w:lang w:val="en-US"/>
        </w:rPr>
        <w:t>Australian</w:t>
      </w:r>
      <w:r w:rsidR="00BB23E1">
        <w:rPr>
          <w:rFonts w:eastAsia="Arial"/>
          <w:lang w:val="en-US"/>
        </w:rPr>
        <w:t xml:space="preserve"> </w:t>
      </w:r>
      <w:r w:rsidR="001F3211">
        <w:rPr>
          <w:rFonts w:eastAsia="Arial"/>
          <w:lang w:val="en-US"/>
        </w:rPr>
        <w:t>Government</w:t>
      </w:r>
      <w:r w:rsidRPr="1E8B5766">
        <w:rPr>
          <w:rFonts w:eastAsia="Arial"/>
          <w:lang w:val="en-US"/>
        </w:rPr>
        <w:t xml:space="preserve"> reimbursing the state and territory governments for costs arising from their responses, and potential compensation for industry arising from </w:t>
      </w:r>
      <w:r w:rsidR="001F3211">
        <w:rPr>
          <w:rFonts w:eastAsia="Arial"/>
          <w:lang w:val="en-US"/>
        </w:rPr>
        <w:t>Australian Government</w:t>
      </w:r>
      <w:r w:rsidRPr="1E8B5766">
        <w:rPr>
          <w:rFonts w:eastAsia="Arial"/>
          <w:lang w:val="en-US"/>
        </w:rPr>
        <w:t xml:space="preserve"> directions under the </w:t>
      </w:r>
      <w:r>
        <w:rPr>
          <w:rFonts w:eastAsia="Arial"/>
          <w:lang w:val="en-US"/>
        </w:rPr>
        <w:t xml:space="preserve">Liquid Fuel </w:t>
      </w:r>
      <w:r w:rsidRPr="1E8B5766">
        <w:rPr>
          <w:rFonts w:eastAsia="Arial"/>
          <w:lang w:val="en-US"/>
        </w:rPr>
        <w:t>Act.</w:t>
      </w:r>
    </w:p>
    <w:p w14:paraId="74D6F101" w14:textId="520B639D" w:rsidR="00F81BE8" w:rsidRDefault="00F81BE8" w:rsidP="001078E4">
      <w:pPr>
        <w:pStyle w:val="Heading4"/>
        <w:rPr>
          <w:rFonts w:eastAsia="Arial"/>
          <w:b w:val="0"/>
          <w:lang w:val="en-US"/>
        </w:rPr>
      </w:pPr>
      <w:r w:rsidRPr="009D2425">
        <w:rPr>
          <w:rFonts w:eastAsia="Arial" w:cs="Arial"/>
          <w:lang w:val="en-US"/>
        </w:rPr>
        <w:t xml:space="preserve">Marinus Link </w:t>
      </w:r>
      <w:r w:rsidRPr="00FD10F8">
        <w:t>Project</w:t>
      </w:r>
      <w:r w:rsidRPr="009D2425">
        <w:rPr>
          <w:rFonts w:eastAsia="Arial" w:cs="Arial"/>
          <w:lang w:val="en-US"/>
        </w:rPr>
        <w:t xml:space="preserve"> – Shareholders</w:t>
      </w:r>
      <w:r w:rsidR="00D737F9">
        <w:rPr>
          <w:rFonts w:eastAsia="Arial" w:cs="Arial"/>
          <w:lang w:val="en-US"/>
        </w:rPr>
        <w:t>’</w:t>
      </w:r>
      <w:r w:rsidRPr="009D2425">
        <w:rPr>
          <w:rFonts w:eastAsia="Arial" w:cs="Arial"/>
          <w:lang w:val="en-US"/>
        </w:rPr>
        <w:t xml:space="preserve"> agreement</w:t>
      </w:r>
    </w:p>
    <w:p w14:paraId="74E8B570" w14:textId="36532377" w:rsidR="00F81BE8" w:rsidRDefault="00F81BE8" w:rsidP="00272A7E">
      <w:pPr>
        <w:rPr>
          <w:rFonts w:eastAsia="Arial"/>
          <w:lang w:val="en-US"/>
        </w:rPr>
      </w:pPr>
      <w:r w:rsidRPr="003E5439">
        <w:rPr>
          <w:rFonts w:eastAsia="Arial"/>
          <w:lang w:val="en-US"/>
        </w:rPr>
        <w:t xml:space="preserve">The </w:t>
      </w:r>
      <w:r w:rsidR="001F3211">
        <w:rPr>
          <w:rFonts w:eastAsia="Arial"/>
          <w:lang w:val="en-US"/>
        </w:rPr>
        <w:t>Australian Government</w:t>
      </w:r>
      <w:r>
        <w:rPr>
          <w:rFonts w:eastAsia="Arial"/>
          <w:lang w:val="en-US"/>
        </w:rPr>
        <w:t>, along</w:t>
      </w:r>
      <w:r w:rsidRPr="003E5439">
        <w:rPr>
          <w:rFonts w:eastAsia="Arial"/>
          <w:lang w:val="en-US"/>
        </w:rPr>
        <w:t xml:space="preserve"> </w:t>
      </w:r>
      <w:r w:rsidRPr="00E60CB7">
        <w:rPr>
          <w:rFonts w:eastAsia="Arial"/>
          <w:lang w:val="en-US"/>
        </w:rPr>
        <w:t>with the Victorian and the Tasmanian Governments</w:t>
      </w:r>
      <w:r>
        <w:rPr>
          <w:rFonts w:eastAsia="Arial"/>
          <w:lang w:val="en-US"/>
        </w:rPr>
        <w:t>,</w:t>
      </w:r>
      <w:r w:rsidRPr="00E60CB7">
        <w:rPr>
          <w:rFonts w:eastAsia="Arial"/>
          <w:lang w:val="en-US"/>
        </w:rPr>
        <w:t xml:space="preserve"> </w:t>
      </w:r>
      <w:r w:rsidRPr="001B2BF1">
        <w:rPr>
          <w:rFonts w:eastAsia="Arial"/>
          <w:lang w:val="en-US"/>
        </w:rPr>
        <w:t>has invested</w:t>
      </w:r>
      <w:r w:rsidRPr="008C7FA1">
        <w:rPr>
          <w:rFonts w:eastAsia="Arial"/>
          <w:lang w:val="en-US"/>
        </w:rPr>
        <w:t xml:space="preserve"> </w:t>
      </w:r>
      <w:r w:rsidRPr="003E5439">
        <w:rPr>
          <w:rFonts w:eastAsia="Arial"/>
          <w:lang w:val="en-US"/>
        </w:rPr>
        <w:t xml:space="preserve">in the joint venture entity Marinus Link Pty Ltd to deliver the Marinus Link project. </w:t>
      </w:r>
      <w:r>
        <w:rPr>
          <w:rFonts w:eastAsia="Arial"/>
          <w:lang w:val="en-US"/>
        </w:rPr>
        <w:t>If</w:t>
      </w:r>
      <w:r w:rsidRPr="003E5439">
        <w:rPr>
          <w:rFonts w:eastAsia="Arial"/>
          <w:lang w:val="en-US"/>
        </w:rPr>
        <w:t xml:space="preserve"> </w:t>
      </w:r>
      <w:r>
        <w:rPr>
          <w:rFonts w:eastAsia="Arial"/>
          <w:lang w:val="en-US"/>
        </w:rPr>
        <w:t>the three shareholders</w:t>
      </w:r>
      <w:r w:rsidRPr="003E5439">
        <w:rPr>
          <w:rFonts w:eastAsia="Arial"/>
          <w:lang w:val="en-US"/>
        </w:rPr>
        <w:t xml:space="preserve"> decide not to proceed with the project and </w:t>
      </w:r>
      <w:r w:rsidRPr="00D90847">
        <w:rPr>
          <w:rFonts w:eastAsia="Arial"/>
          <w:lang w:val="en-US"/>
        </w:rPr>
        <w:t xml:space="preserve">Marinus Link Pty Ltd </w:t>
      </w:r>
      <w:r w:rsidRPr="00D44F1F">
        <w:rPr>
          <w:rFonts w:eastAsia="Arial"/>
          <w:lang w:val="en-US"/>
        </w:rPr>
        <w:t xml:space="preserve">is wound up, the </w:t>
      </w:r>
      <w:r>
        <w:rPr>
          <w:rFonts w:eastAsia="Arial"/>
          <w:lang w:val="en-US"/>
        </w:rPr>
        <w:t xml:space="preserve">shareholders </w:t>
      </w:r>
      <w:r w:rsidRPr="00D44F1F">
        <w:rPr>
          <w:rFonts w:eastAsia="Arial"/>
          <w:lang w:val="en-US"/>
        </w:rPr>
        <w:t xml:space="preserve">may be required to contribute additional equity to meet any outstanding liabilities of </w:t>
      </w:r>
      <w:r w:rsidRPr="00D90847">
        <w:rPr>
          <w:rFonts w:eastAsia="Arial"/>
          <w:lang w:val="en-US"/>
        </w:rPr>
        <w:t>Marinus Link Pty Ltd</w:t>
      </w:r>
      <w:r w:rsidRPr="00D44F1F">
        <w:rPr>
          <w:rFonts w:eastAsia="Arial"/>
          <w:lang w:val="en-US"/>
        </w:rPr>
        <w:t>.</w:t>
      </w:r>
    </w:p>
    <w:p w14:paraId="1E85701E" w14:textId="6E512086" w:rsidR="00F81BE8" w:rsidRPr="003E5439" w:rsidRDefault="00F81BE8" w:rsidP="00121A6D">
      <w:pPr>
        <w:keepLines/>
        <w:rPr>
          <w:rFonts w:eastAsia="Arial"/>
          <w:lang w:val="en-US"/>
        </w:rPr>
      </w:pPr>
      <w:r>
        <w:rPr>
          <w:rFonts w:eastAsia="Arial"/>
          <w:lang w:val="en-US"/>
        </w:rPr>
        <w:lastRenderedPageBreak/>
        <w:t>Under the shareholders</w:t>
      </w:r>
      <w:r w:rsidR="00D737F9">
        <w:rPr>
          <w:rFonts w:eastAsia="Arial"/>
          <w:lang w:val="en-US"/>
        </w:rPr>
        <w:t>’</w:t>
      </w:r>
      <w:r>
        <w:rPr>
          <w:rFonts w:eastAsia="Arial"/>
          <w:lang w:val="en-US"/>
        </w:rPr>
        <w:t xml:space="preserve"> agreement, the Tasmanian Government also has the option to sell</w:t>
      </w:r>
      <w:r w:rsidR="00121A6D">
        <w:rPr>
          <w:rFonts w:eastAsia="Arial"/>
          <w:lang w:val="en-US"/>
        </w:rPr>
        <w:t> </w:t>
      </w:r>
      <w:r>
        <w:rPr>
          <w:rFonts w:eastAsia="Arial"/>
          <w:lang w:val="en-US"/>
        </w:rPr>
        <w:t>some or all of its shares to the other shareholders. This option can only be exercised following the commencement of commercial operations of stage one of the project, currently scheduled for 2030. While the Victorian Government has the first right of refusal to purchase these shares (capped at 16.7</w:t>
      </w:r>
      <w:r w:rsidR="00BD3D7E">
        <w:rPr>
          <w:rFonts w:eastAsia="Arial"/>
          <w:lang w:val="en-US"/>
        </w:rPr>
        <w:t> per cent</w:t>
      </w:r>
      <w:r>
        <w:rPr>
          <w:rFonts w:eastAsia="Arial"/>
          <w:lang w:val="en-US"/>
        </w:rPr>
        <w:t xml:space="preserve"> of the Tasmanian Government</w:t>
      </w:r>
      <w:r w:rsidR="00D737F9">
        <w:rPr>
          <w:rFonts w:eastAsia="Arial"/>
          <w:lang w:val="en-US"/>
        </w:rPr>
        <w:t>’</w:t>
      </w:r>
      <w:r>
        <w:rPr>
          <w:rFonts w:eastAsia="Arial"/>
          <w:lang w:val="en-US"/>
        </w:rPr>
        <w:t>s 17.7</w:t>
      </w:r>
      <w:r w:rsidR="00BD3D7E">
        <w:rPr>
          <w:rFonts w:eastAsia="Arial"/>
          <w:lang w:val="en-US"/>
        </w:rPr>
        <w:t> per cent</w:t>
      </w:r>
      <w:r>
        <w:rPr>
          <w:rFonts w:eastAsia="Arial"/>
          <w:lang w:val="en-US"/>
        </w:rPr>
        <w:t xml:space="preserve"> of the shareholdings), the </w:t>
      </w:r>
      <w:r w:rsidR="001F3211">
        <w:rPr>
          <w:rFonts w:eastAsia="Arial"/>
          <w:lang w:val="en-US"/>
        </w:rPr>
        <w:t>Australian Government</w:t>
      </w:r>
      <w:r>
        <w:rPr>
          <w:rFonts w:eastAsia="Arial"/>
          <w:lang w:val="en-US"/>
        </w:rPr>
        <w:t xml:space="preserve"> </w:t>
      </w:r>
      <w:r w:rsidRPr="6E341F7A">
        <w:rPr>
          <w:rFonts w:eastAsia="Arial"/>
          <w:lang w:val="en-US"/>
        </w:rPr>
        <w:t xml:space="preserve">is </w:t>
      </w:r>
      <w:r>
        <w:rPr>
          <w:rFonts w:eastAsia="Arial"/>
          <w:lang w:val="en-US"/>
        </w:rPr>
        <w:t xml:space="preserve">required to purchase the shares </w:t>
      </w:r>
      <w:r w:rsidRPr="6E341F7A">
        <w:rPr>
          <w:rFonts w:eastAsia="Arial"/>
          <w:lang w:val="en-US"/>
        </w:rPr>
        <w:t xml:space="preserve">that </w:t>
      </w:r>
      <w:r>
        <w:rPr>
          <w:rFonts w:eastAsia="Arial"/>
          <w:lang w:val="en-US"/>
        </w:rPr>
        <w:t xml:space="preserve">the </w:t>
      </w:r>
      <w:r w:rsidRPr="6E341F7A">
        <w:rPr>
          <w:rFonts w:eastAsia="Arial"/>
          <w:lang w:val="en-US"/>
        </w:rPr>
        <w:t>Victoria</w:t>
      </w:r>
      <w:r>
        <w:rPr>
          <w:rFonts w:eastAsia="Arial"/>
          <w:lang w:val="en-US"/>
        </w:rPr>
        <w:t>n</w:t>
      </w:r>
      <w:r w:rsidRPr="6E341F7A">
        <w:rPr>
          <w:rFonts w:eastAsia="Arial"/>
          <w:lang w:val="en-US"/>
        </w:rPr>
        <w:t xml:space="preserve"> </w:t>
      </w:r>
      <w:r>
        <w:rPr>
          <w:rFonts w:eastAsia="Arial"/>
          <w:lang w:val="en-US"/>
        </w:rPr>
        <w:t xml:space="preserve">Government </w:t>
      </w:r>
      <w:r w:rsidRPr="6E341F7A">
        <w:rPr>
          <w:rFonts w:eastAsia="Arial"/>
          <w:lang w:val="en-US"/>
        </w:rPr>
        <w:t xml:space="preserve">does not </w:t>
      </w:r>
      <w:r>
        <w:rPr>
          <w:rFonts w:eastAsia="Arial"/>
          <w:lang w:val="en-US"/>
        </w:rPr>
        <w:t>acquire</w:t>
      </w:r>
      <w:r w:rsidRPr="6E341F7A">
        <w:rPr>
          <w:rFonts w:eastAsia="Arial"/>
          <w:lang w:val="en-US"/>
        </w:rPr>
        <w:t>.</w:t>
      </w:r>
      <w:r>
        <w:rPr>
          <w:rFonts w:eastAsia="Arial"/>
          <w:lang w:val="en-US"/>
        </w:rPr>
        <w:t xml:space="preserve"> Any additional shares purchased would be</w:t>
      </w:r>
      <w:r w:rsidRPr="6E341F7A">
        <w:rPr>
          <w:rFonts w:eastAsia="Arial"/>
          <w:lang w:val="en-US"/>
        </w:rPr>
        <w:t xml:space="preserve"> expected </w:t>
      </w:r>
      <w:r>
        <w:rPr>
          <w:rFonts w:eastAsia="Arial"/>
          <w:lang w:val="en-US"/>
        </w:rPr>
        <w:t>to</w:t>
      </w:r>
      <w:r w:rsidRPr="6E341F7A">
        <w:rPr>
          <w:rFonts w:eastAsia="Arial"/>
          <w:lang w:val="en-US"/>
        </w:rPr>
        <w:t xml:space="preserve"> generate a return in line with the </w:t>
      </w:r>
      <w:r w:rsidR="001F3211">
        <w:rPr>
          <w:rFonts w:eastAsia="Arial"/>
          <w:lang w:val="en-US"/>
        </w:rPr>
        <w:t>Australian Government</w:t>
      </w:r>
      <w:r w:rsidR="00D737F9">
        <w:rPr>
          <w:rFonts w:eastAsia="Arial"/>
          <w:lang w:val="en-US"/>
        </w:rPr>
        <w:t>’</w:t>
      </w:r>
      <w:r w:rsidRPr="6E341F7A">
        <w:rPr>
          <w:rFonts w:eastAsia="Arial"/>
          <w:lang w:val="en-US"/>
        </w:rPr>
        <w:t xml:space="preserve">s existing shareholding in the </w:t>
      </w:r>
      <w:r>
        <w:rPr>
          <w:rFonts w:eastAsia="Arial"/>
          <w:lang w:val="en-US"/>
        </w:rPr>
        <w:t>entity</w:t>
      </w:r>
      <w:r w:rsidRPr="6E341F7A">
        <w:rPr>
          <w:rFonts w:eastAsia="Arial"/>
          <w:lang w:val="en-US"/>
        </w:rPr>
        <w:t>.</w:t>
      </w:r>
    </w:p>
    <w:p w14:paraId="002AEE11" w14:textId="409CDDF0" w:rsidR="00F81BE8" w:rsidRDefault="00F81BE8" w:rsidP="00121A6D">
      <w:pPr>
        <w:rPr>
          <w:rFonts w:eastAsia="Arial"/>
          <w:lang w:val="en-US"/>
        </w:rPr>
      </w:pPr>
      <w:r>
        <w:rPr>
          <w:rFonts w:eastAsia="Arial"/>
          <w:lang w:val="en-US"/>
        </w:rPr>
        <w:t>T</w:t>
      </w:r>
      <w:r w:rsidRPr="003E5439">
        <w:rPr>
          <w:rFonts w:eastAsia="Arial"/>
          <w:lang w:val="en-US"/>
        </w:rPr>
        <w:t xml:space="preserve">here </w:t>
      </w:r>
      <w:r>
        <w:rPr>
          <w:rFonts w:eastAsia="Arial"/>
          <w:lang w:val="en-US"/>
        </w:rPr>
        <w:t>are also ongoing project</w:t>
      </w:r>
      <w:r w:rsidRPr="003E5439">
        <w:rPr>
          <w:rFonts w:eastAsia="Arial"/>
          <w:lang w:val="en-US"/>
        </w:rPr>
        <w:t xml:space="preserve"> risk</w:t>
      </w:r>
      <w:r>
        <w:rPr>
          <w:rFonts w:eastAsia="Arial"/>
          <w:lang w:val="en-US"/>
        </w:rPr>
        <w:t>s</w:t>
      </w:r>
      <w:r w:rsidRPr="09A445B1">
        <w:rPr>
          <w:rFonts w:eastAsia="Arial"/>
          <w:lang w:val="en-US"/>
        </w:rPr>
        <w:t xml:space="preserve"> </w:t>
      </w:r>
      <w:r>
        <w:rPr>
          <w:rFonts w:eastAsia="Arial"/>
          <w:lang w:val="en-US"/>
        </w:rPr>
        <w:t>as the project progresses, such as cost pressures, that</w:t>
      </w:r>
      <w:r w:rsidR="00440A8F">
        <w:rPr>
          <w:rFonts w:eastAsia="Arial"/>
          <w:lang w:val="en-US"/>
        </w:rPr>
        <w:t> </w:t>
      </w:r>
      <w:r>
        <w:rPr>
          <w:rFonts w:eastAsia="Arial"/>
          <w:lang w:val="en-US"/>
        </w:rPr>
        <w:t xml:space="preserve">may require additional </w:t>
      </w:r>
      <w:r w:rsidRPr="00F41199">
        <w:rPr>
          <w:rFonts w:eastAsia="Arial"/>
          <w:lang w:val="en-US"/>
        </w:rPr>
        <w:t xml:space="preserve">equity contributions from the shareholders. The </w:t>
      </w:r>
      <w:r w:rsidR="001F3211">
        <w:rPr>
          <w:rFonts w:eastAsia="Arial"/>
          <w:lang w:val="en-US"/>
        </w:rPr>
        <w:t>Australian Government</w:t>
      </w:r>
      <w:r w:rsidRPr="00F41199">
        <w:rPr>
          <w:rFonts w:eastAsia="Arial"/>
          <w:lang w:val="en-US"/>
        </w:rPr>
        <w:t xml:space="preserve"> will continue to monitor th</w:t>
      </w:r>
      <w:r>
        <w:rPr>
          <w:rFonts w:eastAsia="Arial"/>
          <w:lang w:val="en-US"/>
        </w:rPr>
        <w:t>ese</w:t>
      </w:r>
      <w:r w:rsidRPr="00F41199">
        <w:rPr>
          <w:rFonts w:eastAsia="Arial"/>
          <w:lang w:val="en-US"/>
        </w:rPr>
        <w:t xml:space="preserve"> risk</w:t>
      </w:r>
      <w:r>
        <w:rPr>
          <w:rFonts w:eastAsia="Arial"/>
          <w:lang w:val="en-US"/>
        </w:rPr>
        <w:t xml:space="preserve">s </w:t>
      </w:r>
      <w:r w:rsidRPr="00F41199">
        <w:rPr>
          <w:rFonts w:eastAsia="Arial"/>
          <w:lang w:val="en-US"/>
        </w:rPr>
        <w:t>through engagement and oversight of Marinus Link Pty Ltd</w:t>
      </w:r>
      <w:r w:rsidR="00D737F9">
        <w:rPr>
          <w:rFonts w:eastAsia="Arial"/>
          <w:lang w:val="en-US"/>
        </w:rPr>
        <w:t>’</w:t>
      </w:r>
      <w:r w:rsidRPr="00F41199">
        <w:rPr>
          <w:rFonts w:eastAsia="Arial"/>
          <w:lang w:val="en-US"/>
        </w:rPr>
        <w:t xml:space="preserve">s activities. </w:t>
      </w:r>
    </w:p>
    <w:p w14:paraId="09FBBA60" w14:textId="5CB707C2" w:rsidR="00F81BE8" w:rsidRPr="00261890" w:rsidRDefault="00F81BE8" w:rsidP="001078E4">
      <w:pPr>
        <w:pStyle w:val="Heading4"/>
        <w:rPr>
          <w:rFonts w:eastAsia="Arial"/>
          <w:lang w:val="en-US"/>
        </w:rPr>
      </w:pPr>
      <w:r w:rsidRPr="1BEC0AA8">
        <w:rPr>
          <w:rFonts w:eastAsia="Arial"/>
          <w:lang w:val="en-US"/>
        </w:rPr>
        <w:t>Murray</w:t>
      </w:r>
      <w:r w:rsidR="00D737F9">
        <w:rPr>
          <w:rFonts w:eastAsia="Arial"/>
          <w:lang w:val="en-US"/>
        </w:rPr>
        <w:noBreakHyphen/>
      </w:r>
      <w:r w:rsidRPr="1BEC0AA8">
        <w:rPr>
          <w:rFonts w:eastAsia="Arial"/>
          <w:lang w:val="en-US"/>
        </w:rPr>
        <w:t>Darling</w:t>
      </w:r>
      <w:r w:rsidRPr="00261890">
        <w:rPr>
          <w:rFonts w:eastAsia="Arial"/>
          <w:lang w:val="en-US"/>
        </w:rPr>
        <w:t xml:space="preserve"> Basin Reform </w:t>
      </w:r>
      <w:r>
        <w:rPr>
          <w:rFonts w:eastAsia="Calibri"/>
        </w:rPr>
        <w:t>–</w:t>
      </w:r>
      <w:r w:rsidRPr="00261890">
        <w:rPr>
          <w:rFonts w:eastAsia="Arial"/>
          <w:lang w:val="en-US"/>
        </w:rPr>
        <w:t xml:space="preserve"> risk assignment</w:t>
      </w:r>
    </w:p>
    <w:p w14:paraId="1929B132" w14:textId="756AC41A" w:rsidR="00F81BE8" w:rsidRPr="00272A7E" w:rsidRDefault="00F81BE8" w:rsidP="00121A6D">
      <w:r>
        <w:t xml:space="preserve">The </w:t>
      </w:r>
      <w:r w:rsidR="001F3211">
        <w:t>Australian Government</w:t>
      </w:r>
      <w:r>
        <w:t xml:space="preserve"> has committed to bridge the gap between the Baseline Diversion Limit and the Sustainable Diversion Limits in the </w:t>
      </w:r>
      <w:r w:rsidRPr="00894583">
        <w:rPr>
          <w:i/>
          <w:iCs/>
        </w:rPr>
        <w:t>Basin Plan 2012</w:t>
      </w:r>
      <w:r>
        <w:t xml:space="preserve"> through water recovery. On 1</w:t>
      </w:r>
      <w:r w:rsidR="00D9795C">
        <w:t> July </w:t>
      </w:r>
      <w:r>
        <w:t xml:space="preserve">2019, the Sustainable Diversion Limits took effect. The </w:t>
      </w:r>
      <w:r w:rsidRPr="00B832E0">
        <w:rPr>
          <w:i/>
        </w:rPr>
        <w:t>Water</w:t>
      </w:r>
      <w:r>
        <w:rPr>
          <w:i/>
        </w:rPr>
        <w:t> </w:t>
      </w:r>
      <w:r w:rsidRPr="00B832E0">
        <w:rPr>
          <w:i/>
        </w:rPr>
        <w:t>Act</w:t>
      </w:r>
      <w:r>
        <w:rPr>
          <w:i/>
        </w:rPr>
        <w:t> </w:t>
      </w:r>
      <w:r w:rsidRPr="00B832E0">
        <w:rPr>
          <w:i/>
        </w:rPr>
        <w:t xml:space="preserve">2007 </w:t>
      </w:r>
      <w:r w:rsidRPr="00272A7E">
        <w:t>provides a risk assignment framework in which entitlement holders with reductions in water allocations, or changes in the reliability of water allocations (where the gap has not been bridged and an accredited water resource plan is in place), may be eligible for a payment from the Commonwealth.</w:t>
      </w:r>
    </w:p>
    <w:p w14:paraId="6F7F957B" w14:textId="77777777" w:rsidR="00F81BE8" w:rsidRDefault="00F81BE8" w:rsidP="00121A6D">
      <w:r>
        <w:t>The total cost of the operation of the risk assignment framework cannot be quantified at this time a</w:t>
      </w:r>
      <w:r w:rsidRPr="00272A7E">
        <w:t>nd remains a fiscal risk until the gap between the Baseline Diversion Limit and Sustainable Diversion Limits is fully</w:t>
      </w:r>
      <w:r>
        <w:t xml:space="preserve"> bridged.</w:t>
      </w:r>
    </w:p>
    <w:p w14:paraId="0C9687D6" w14:textId="77777777" w:rsidR="00F81BE8" w:rsidRDefault="00F81BE8" w:rsidP="001078E4">
      <w:pPr>
        <w:pStyle w:val="Heading4"/>
        <w:rPr>
          <w:rFonts w:eastAsia="Arial"/>
          <w:lang w:val="en-US"/>
        </w:rPr>
      </w:pPr>
      <w:r w:rsidRPr="006460F9">
        <w:rPr>
          <w:rFonts w:eastAsia="Arial"/>
        </w:rPr>
        <w:t>Remediation</w:t>
      </w:r>
      <w:r w:rsidRPr="0061784C">
        <w:rPr>
          <w:rFonts w:eastAsia="Arial"/>
          <w:lang w:val="en-US"/>
        </w:rPr>
        <w:t xml:space="preserve"> of Jabiru </w:t>
      </w:r>
      <w:bookmarkStart w:id="40" w:name="_Hlk148361227"/>
      <w:r w:rsidRPr="0061784C">
        <w:rPr>
          <w:rFonts w:eastAsia="Arial"/>
          <w:lang w:val="en-US"/>
        </w:rPr>
        <w:t>Township</w:t>
      </w:r>
      <w:bookmarkEnd w:id="40"/>
    </w:p>
    <w:p w14:paraId="05E5C715" w14:textId="3C4E139C" w:rsidR="00F81BE8" w:rsidRPr="00B832E0" w:rsidRDefault="00F81BE8" w:rsidP="00121A6D">
      <w:r>
        <w:t>T</w:t>
      </w:r>
      <w:r w:rsidRPr="00B832E0">
        <w:t xml:space="preserve">he </w:t>
      </w:r>
      <w:r w:rsidR="001F3211">
        <w:t>Australian Government</w:t>
      </w:r>
      <w:r w:rsidRPr="00B832E0">
        <w:t>, the Northern Territory Government,</w:t>
      </w:r>
      <w:r>
        <w:t xml:space="preserve"> Gundjeihmi Aboriginal Corporation </w:t>
      </w:r>
      <w:r w:rsidRPr="00B832E0">
        <w:t xml:space="preserve">and Energy Resources </w:t>
      </w:r>
      <w:r>
        <w:t xml:space="preserve">of </w:t>
      </w:r>
      <w:r w:rsidRPr="00B832E0">
        <w:t>Australia</w:t>
      </w:r>
      <w:r>
        <w:t xml:space="preserve"> Ltd signed a </w:t>
      </w:r>
      <w:r w:rsidRPr="00B832E0">
        <w:t>Memorandum of Understanding in</w:t>
      </w:r>
      <w:r>
        <w:t> </w:t>
      </w:r>
      <w:r w:rsidRPr="00B832E0">
        <w:t>2019</w:t>
      </w:r>
      <w:r>
        <w:t>. The Memorandum of Understanding</w:t>
      </w:r>
      <w:r w:rsidRPr="00B832E0">
        <w:t xml:space="preserve"> underpins the transfer of ownership of Jabiru to the Traditional Owners and related make good and rehabilitation arrangements. On 26 June 2021, the </w:t>
      </w:r>
      <w:r w:rsidR="001F3211">
        <w:t>Australian Government</w:t>
      </w:r>
      <w:r w:rsidRPr="00B832E0">
        <w:t xml:space="preserve"> officially returned ownership of Jabiru to the Traditional Owners. </w:t>
      </w:r>
      <w:r>
        <w:t>Before</w:t>
      </w:r>
      <w:r w:rsidRPr="00B832E0">
        <w:t xml:space="preserve"> the handover, the </w:t>
      </w:r>
      <w:r w:rsidR="001F3211">
        <w:t>Australian Government</w:t>
      </w:r>
      <w:r w:rsidRPr="00B832E0">
        <w:t xml:space="preserve"> signed a Remediation and Indemnity Deed between representatives of the </w:t>
      </w:r>
      <w:r>
        <w:t>T</w:t>
      </w:r>
      <w:r w:rsidRPr="00B832E0">
        <w:t xml:space="preserve">raditional </w:t>
      </w:r>
      <w:r>
        <w:t>O</w:t>
      </w:r>
      <w:r w:rsidRPr="00B832E0">
        <w:t xml:space="preserve">wners in Jabiru and the Northern Land Council. </w:t>
      </w:r>
    </w:p>
    <w:p w14:paraId="5B1315CB" w14:textId="258A4E17" w:rsidR="00F81BE8" w:rsidRDefault="00F81BE8" w:rsidP="00121A6D">
      <w:bookmarkStart w:id="41" w:name="_Hlk148966718"/>
      <w:r>
        <w:t xml:space="preserve">Under these agreements, the </w:t>
      </w:r>
      <w:r w:rsidR="001F3211">
        <w:t>Australian Government</w:t>
      </w:r>
      <w:r w:rsidR="00D737F9">
        <w:t>’</w:t>
      </w:r>
      <w:r>
        <w:t>s responsibilities include</w:t>
      </w:r>
      <w:bookmarkEnd w:id="41"/>
      <w:r w:rsidRPr="00B832E0">
        <w:t xml:space="preserve"> renewal or upgrading of some essential services infrastructure (stormwater, landfill and roads), managing contamination in Jabiru Lake, management or removal of hazardous materials and chemicals, replacing asbestos tiled roo</w:t>
      </w:r>
      <w:r>
        <w:t>f</w:t>
      </w:r>
      <w:r w:rsidRPr="00B832E0">
        <w:t xml:space="preserve">s and improving housing stock, and other ecological remediation. Expenditure for the rehabilitation work will be shared between the </w:t>
      </w:r>
      <w:r w:rsidR="001F3211">
        <w:t>Australian Government</w:t>
      </w:r>
      <w:r w:rsidRPr="00B832E0">
        <w:t xml:space="preserve">, Northern Territory Government and Energy Resources Australia. </w:t>
      </w:r>
    </w:p>
    <w:p w14:paraId="0637EA2F" w14:textId="77777777" w:rsidR="00F81BE8" w:rsidRPr="00B832E0" w:rsidRDefault="00F81BE8" w:rsidP="001078E4">
      <w:pPr>
        <w:pStyle w:val="Heading4"/>
      </w:pPr>
      <w:bookmarkStart w:id="42" w:name="_Toc71117848"/>
      <w:r w:rsidRPr="00B832E0">
        <w:lastRenderedPageBreak/>
        <w:t>United States Strategic Petroleum Reserve Lease Agreement – indemnity under certain conditions</w:t>
      </w:r>
      <w:bookmarkEnd w:id="42"/>
    </w:p>
    <w:p w14:paraId="2A1FD3F5" w14:textId="2152D6E6" w:rsidR="00F81BE8" w:rsidRPr="00735928" w:rsidRDefault="00F81BE8" w:rsidP="00121A6D">
      <w:pPr>
        <w:rPr>
          <w:rFonts w:eastAsia="Arial"/>
          <w:lang w:val="en-US"/>
        </w:rPr>
      </w:pPr>
      <w:r w:rsidRPr="1E8B5766">
        <w:rPr>
          <w:rFonts w:eastAsia="Arial"/>
          <w:lang w:val="en-US"/>
        </w:rPr>
        <w:t xml:space="preserve">On 3 June 2020, the </w:t>
      </w:r>
      <w:r w:rsidR="001F3211">
        <w:rPr>
          <w:rFonts w:eastAsia="Arial"/>
          <w:lang w:val="en-US"/>
        </w:rPr>
        <w:t>Australian Government</w:t>
      </w:r>
      <w:r w:rsidRPr="1E8B5766">
        <w:rPr>
          <w:rFonts w:eastAsia="Arial"/>
          <w:lang w:val="en-US"/>
        </w:rPr>
        <w:t xml:space="preserve"> entered into a commercial leasing agreement with the United States (US) Department of Energy. This agreement facilitates the storage of Australia</w:t>
      </w:r>
      <w:r w:rsidR="00D737F9">
        <w:rPr>
          <w:rFonts w:eastAsia="Arial"/>
          <w:lang w:val="en-US"/>
        </w:rPr>
        <w:t>’</w:t>
      </w:r>
      <w:r w:rsidRPr="1E8B5766">
        <w:rPr>
          <w:rFonts w:eastAsia="Arial"/>
          <w:lang w:val="en-US"/>
        </w:rPr>
        <w:t>s first government</w:t>
      </w:r>
      <w:r w:rsidR="00D737F9">
        <w:rPr>
          <w:rFonts w:eastAsia="Arial"/>
          <w:lang w:val="en-US"/>
        </w:rPr>
        <w:noBreakHyphen/>
      </w:r>
      <w:r w:rsidRPr="1E8B5766">
        <w:rPr>
          <w:rFonts w:eastAsia="Arial"/>
          <w:lang w:val="en-US"/>
        </w:rPr>
        <w:t>owned strategic fuel reserve in the US Strategic Petroleum Reserve (SPR).</w:t>
      </w:r>
    </w:p>
    <w:p w14:paraId="22133167" w14:textId="4EE97FD3" w:rsidR="00F81BE8" w:rsidRPr="00735928" w:rsidRDefault="00F81BE8" w:rsidP="00121A6D">
      <w:pPr>
        <w:rPr>
          <w:rFonts w:eastAsia="Arial"/>
          <w:lang w:val="en-US"/>
        </w:rPr>
      </w:pPr>
      <w:r w:rsidRPr="1E8B5766">
        <w:rPr>
          <w:rFonts w:eastAsia="Arial"/>
          <w:lang w:val="en-US"/>
        </w:rPr>
        <w:t xml:space="preserve">Under the lease agreement, the </w:t>
      </w:r>
      <w:r w:rsidR="001F3211">
        <w:rPr>
          <w:rFonts w:eastAsia="Arial"/>
          <w:lang w:val="en-US"/>
        </w:rPr>
        <w:t>Australian Government</w:t>
      </w:r>
      <w:r w:rsidRPr="1E8B5766">
        <w:rPr>
          <w:rFonts w:eastAsia="Arial"/>
          <w:lang w:val="en-US"/>
        </w:rPr>
        <w:t xml:space="preserve"> indemnifies the SPR for any liabilities incurred (subject to certain exceptions) arising from or related to: the transportation of crude oil to the</w:t>
      </w:r>
      <w:r w:rsidR="00EB5054">
        <w:rPr>
          <w:rFonts w:eastAsia="Arial"/>
          <w:lang w:val="en-US"/>
        </w:rPr>
        <w:t xml:space="preserve"> </w:t>
      </w:r>
      <w:r w:rsidRPr="1E8B5766">
        <w:rPr>
          <w:rFonts w:eastAsia="Arial"/>
          <w:lang w:val="en-US"/>
        </w:rPr>
        <w:t>SPR; third</w:t>
      </w:r>
      <w:r w:rsidR="00D737F9">
        <w:rPr>
          <w:rFonts w:eastAsia="Arial"/>
          <w:lang w:val="en-US"/>
        </w:rPr>
        <w:noBreakHyphen/>
      </w:r>
      <w:r w:rsidRPr="1E8B5766">
        <w:rPr>
          <w:rFonts w:eastAsia="Arial"/>
          <w:lang w:val="en-US"/>
        </w:rPr>
        <w:t xml:space="preserve">party claims made in connection with the drawdown or delivery of the oil; and customs duties, fees or other charges which may arise from the </w:t>
      </w:r>
      <w:r w:rsidR="001F3211">
        <w:rPr>
          <w:rFonts w:eastAsia="Arial"/>
          <w:lang w:val="en-US"/>
        </w:rPr>
        <w:t>Australian Government</w:t>
      </w:r>
      <w:r w:rsidR="00D737F9">
        <w:rPr>
          <w:rFonts w:eastAsia="Arial"/>
          <w:lang w:val="en-US"/>
        </w:rPr>
        <w:t>’</w:t>
      </w:r>
      <w:r w:rsidRPr="1E8B5766">
        <w:rPr>
          <w:rFonts w:eastAsia="Arial"/>
          <w:lang w:val="en-US"/>
        </w:rPr>
        <w:t>s noncompliance with US</w:t>
      </w:r>
      <w:r w:rsidR="00EB5054">
        <w:rPr>
          <w:rFonts w:eastAsia="Arial"/>
          <w:lang w:val="en-US"/>
        </w:rPr>
        <w:t xml:space="preserve"> </w:t>
      </w:r>
      <w:r w:rsidRPr="1E8B5766">
        <w:rPr>
          <w:rFonts w:eastAsia="Arial"/>
          <w:lang w:val="en-US"/>
        </w:rPr>
        <w:t>Customs Law.</w:t>
      </w:r>
    </w:p>
    <w:p w14:paraId="555AF643" w14:textId="77777777" w:rsidR="00F81BE8" w:rsidRDefault="00F81BE8" w:rsidP="00121A6D">
      <w:pPr>
        <w:rPr>
          <w:rFonts w:eastAsia="Arial"/>
          <w:lang w:val="en-US"/>
        </w:rPr>
      </w:pPr>
      <w:r w:rsidRPr="1E8B5766">
        <w:rPr>
          <w:rFonts w:eastAsia="Arial"/>
          <w:lang w:val="en-US"/>
        </w:rPr>
        <w:t xml:space="preserve">Following the sale and delivery of all Australian oil held in the SPR in June 2022, the risk of any liability is currently significantly reduced. Australia continues to maintain its lease and </w:t>
      </w:r>
      <w:r>
        <w:rPr>
          <w:rFonts w:eastAsia="Arial"/>
          <w:lang w:val="en-US"/>
        </w:rPr>
        <w:t>could</w:t>
      </w:r>
      <w:r w:rsidRPr="1E8B5766">
        <w:rPr>
          <w:rFonts w:eastAsia="Arial"/>
          <w:lang w:val="en-US"/>
        </w:rPr>
        <w:t xml:space="preserve"> deci</w:t>
      </w:r>
      <w:r>
        <w:rPr>
          <w:rFonts w:eastAsia="Arial"/>
          <w:lang w:val="en-US"/>
        </w:rPr>
        <w:t>de</w:t>
      </w:r>
      <w:r w:rsidRPr="1E8B5766">
        <w:rPr>
          <w:rFonts w:eastAsia="Arial"/>
          <w:lang w:val="en-US"/>
        </w:rPr>
        <w:t xml:space="preserve"> to store new reserves in the future. </w:t>
      </w:r>
    </w:p>
    <w:p w14:paraId="1DA64ADF" w14:textId="77777777" w:rsidR="00F81BE8" w:rsidRPr="00B832E0" w:rsidRDefault="00F81BE8" w:rsidP="001078E4">
      <w:pPr>
        <w:pStyle w:val="Heading3"/>
        <w:rPr>
          <w:rFonts w:ascii="Arial" w:eastAsia="Arial" w:hAnsi="Arial" w:cs="Arial"/>
          <w:b w:val="0"/>
          <w:bCs/>
          <w:lang w:val="en-US"/>
        </w:rPr>
      </w:pPr>
      <w:bookmarkStart w:id="43" w:name="_Toc166165496"/>
      <w:r w:rsidRPr="00B832E0">
        <w:rPr>
          <w:rFonts w:ascii="Arial" w:eastAsia="Arial" w:hAnsi="Arial" w:cs="Arial"/>
          <w:bCs/>
          <w:lang w:val="en-US"/>
        </w:rPr>
        <w:t>Contingent liability – quantifiable</w:t>
      </w:r>
      <w:bookmarkEnd w:id="43"/>
    </w:p>
    <w:p w14:paraId="0F932162" w14:textId="77777777" w:rsidR="00F81BE8" w:rsidRPr="006460F9" w:rsidRDefault="00F81BE8" w:rsidP="001078E4">
      <w:pPr>
        <w:pStyle w:val="Heading4"/>
        <w:rPr>
          <w:rFonts w:eastAsia="Arial"/>
        </w:rPr>
      </w:pPr>
      <w:r w:rsidRPr="006460F9">
        <w:rPr>
          <w:rFonts w:eastAsia="Arial"/>
        </w:rPr>
        <w:t>Underwriting of the Marinus Link Project</w:t>
      </w:r>
    </w:p>
    <w:p w14:paraId="1A747450" w14:textId="1B23ACD8" w:rsidR="00F81BE8" w:rsidRDefault="00F81BE8" w:rsidP="00272A7E">
      <w:pPr>
        <w:rPr>
          <w:rFonts w:eastAsia="Arial"/>
        </w:rPr>
      </w:pPr>
      <w:r w:rsidRPr="1E8B5766">
        <w:rPr>
          <w:rFonts w:eastAsia="Arial"/>
        </w:rPr>
        <w:t xml:space="preserve">The </w:t>
      </w:r>
      <w:r w:rsidR="001F3211">
        <w:rPr>
          <w:rFonts w:eastAsia="Arial"/>
        </w:rPr>
        <w:t>Australian Government</w:t>
      </w:r>
      <w:r w:rsidRPr="1E8B5766">
        <w:rPr>
          <w:rFonts w:eastAsia="Arial"/>
        </w:rPr>
        <w:t xml:space="preserve"> </w:t>
      </w:r>
      <w:r>
        <w:rPr>
          <w:rFonts w:eastAsia="Arial"/>
        </w:rPr>
        <w:t>has</w:t>
      </w:r>
      <w:r w:rsidRPr="1E8B5766">
        <w:rPr>
          <w:rFonts w:eastAsia="Arial"/>
        </w:rPr>
        <w:t xml:space="preserve"> underwrit</w:t>
      </w:r>
      <w:r>
        <w:rPr>
          <w:rFonts w:eastAsia="Arial"/>
        </w:rPr>
        <w:t>ten</w:t>
      </w:r>
      <w:r w:rsidRPr="1E8B5766">
        <w:rPr>
          <w:rFonts w:eastAsia="Arial"/>
        </w:rPr>
        <w:t xml:space="preserve"> up to</w:t>
      </w:r>
      <w:r>
        <w:rPr>
          <w:rFonts w:eastAsia="Arial"/>
        </w:rPr>
        <w:t>:</w:t>
      </w:r>
    </w:p>
    <w:p w14:paraId="009ECE06" w14:textId="77777777" w:rsidR="00F81BE8" w:rsidRPr="00121A6D" w:rsidRDefault="00F81BE8" w:rsidP="00121A6D">
      <w:pPr>
        <w:pStyle w:val="Bullet"/>
        <w:rPr>
          <w:rFonts w:eastAsia="Arial"/>
        </w:rPr>
      </w:pPr>
      <w:r w:rsidRPr="00E22A7D">
        <w:rPr>
          <w:rFonts w:eastAsia="Arial"/>
        </w:rPr>
        <w:t>$76.5 </w:t>
      </w:r>
      <w:r w:rsidRPr="00121A6D">
        <w:rPr>
          <w:rFonts w:eastAsia="Arial"/>
        </w:rPr>
        <w:t>million for reservation of manufacturing capacity for cable one for the Marinus Link project (signed 5 September 2023).</w:t>
      </w:r>
    </w:p>
    <w:p w14:paraId="67526F0E" w14:textId="6C8A92A1" w:rsidR="00F81BE8" w:rsidRPr="00E22A7D" w:rsidRDefault="00F81BE8" w:rsidP="00121A6D">
      <w:pPr>
        <w:pStyle w:val="Bullet"/>
        <w:rPr>
          <w:rFonts w:eastAsia="Arial"/>
        </w:rPr>
      </w:pPr>
      <w:r w:rsidRPr="00121A6D">
        <w:rPr>
          <w:rFonts w:eastAsia="Arial"/>
        </w:rPr>
        <w:t>Swedish Krona kr344.2</w:t>
      </w:r>
      <w:r w:rsidR="0028350B" w:rsidRPr="00121A6D">
        <w:rPr>
          <w:rFonts w:eastAsia="Arial"/>
        </w:rPr>
        <w:t> </w:t>
      </w:r>
      <w:r w:rsidRPr="00121A6D">
        <w:rPr>
          <w:rFonts w:eastAsia="Arial"/>
        </w:rPr>
        <w:t>million, EUR12.9 million, US$2.5 million and A$59.4 million (estimated total value A$134.6 million as of 31</w:t>
      </w:r>
      <w:r w:rsidR="00D9795C" w:rsidRPr="00121A6D">
        <w:rPr>
          <w:rFonts w:eastAsia="Arial"/>
        </w:rPr>
        <w:t> March </w:t>
      </w:r>
      <w:r w:rsidRPr="00121A6D">
        <w:rPr>
          <w:rFonts w:eastAsia="Arial"/>
        </w:rPr>
        <w:t>2024) for reservation of manufacturing</w:t>
      </w:r>
      <w:r w:rsidRPr="00E22A7D">
        <w:rPr>
          <w:rFonts w:eastAsia="Arial"/>
        </w:rPr>
        <w:t xml:space="preserve"> and installation capacity for converter stations for the Marinus Link project (signed 31</w:t>
      </w:r>
      <w:r w:rsidR="00D9795C">
        <w:rPr>
          <w:rFonts w:eastAsia="Arial"/>
        </w:rPr>
        <w:t> March </w:t>
      </w:r>
      <w:r w:rsidRPr="00E22A7D">
        <w:rPr>
          <w:rFonts w:eastAsia="Arial"/>
        </w:rPr>
        <w:t xml:space="preserve">2024). </w:t>
      </w:r>
    </w:p>
    <w:p w14:paraId="607B52BD" w14:textId="6111AC94" w:rsidR="00F81BE8" w:rsidRPr="00303F60" w:rsidRDefault="00F81BE8" w:rsidP="00121A6D">
      <w:pPr>
        <w:rPr>
          <w:rFonts w:eastAsia="Arial"/>
        </w:rPr>
      </w:pPr>
      <w:r w:rsidRPr="1E8B5766">
        <w:rPr>
          <w:rFonts w:eastAsia="Arial"/>
        </w:rPr>
        <w:t>The conditions for th</w:t>
      </w:r>
      <w:r>
        <w:rPr>
          <w:rFonts w:eastAsia="Arial"/>
        </w:rPr>
        <w:t>ese</w:t>
      </w:r>
      <w:r w:rsidRPr="1E8B5766">
        <w:rPr>
          <w:rFonts w:eastAsia="Arial"/>
        </w:rPr>
        <w:t xml:space="preserve"> underwriting agreement</w:t>
      </w:r>
      <w:r>
        <w:rPr>
          <w:rFonts w:eastAsia="Arial"/>
        </w:rPr>
        <w:t>s</w:t>
      </w:r>
      <w:r w:rsidRPr="1E8B5766">
        <w:rPr>
          <w:rFonts w:eastAsia="Arial"/>
        </w:rPr>
        <w:t xml:space="preserve"> to be called on relate to a</w:t>
      </w:r>
      <w:r w:rsidRPr="00272A7E">
        <w:rPr>
          <w:rFonts w:eastAsia="Arial"/>
        </w:rPr>
        <w:t>greement to proceed with the project not being reached and the associated notices to proceed not being issued to the cable one or converter station contractors by 31</w:t>
      </w:r>
      <w:r w:rsidR="00D9795C">
        <w:rPr>
          <w:rFonts w:eastAsia="Arial"/>
        </w:rPr>
        <w:t> July </w:t>
      </w:r>
      <w:r w:rsidRPr="00272A7E">
        <w:rPr>
          <w:rFonts w:eastAsia="Arial"/>
        </w:rPr>
        <w:t>2024 and 31</w:t>
      </w:r>
      <w:r w:rsidR="0028350B">
        <w:rPr>
          <w:rFonts w:eastAsia="Arial"/>
        </w:rPr>
        <w:t> </w:t>
      </w:r>
      <w:r w:rsidRPr="00272A7E">
        <w:rPr>
          <w:rFonts w:eastAsia="Arial"/>
        </w:rPr>
        <w:t>August</w:t>
      </w:r>
      <w:r w:rsidR="0028350B">
        <w:rPr>
          <w:rFonts w:eastAsia="Arial"/>
        </w:rPr>
        <w:t> </w:t>
      </w:r>
      <w:r w:rsidRPr="00272A7E">
        <w:rPr>
          <w:rFonts w:eastAsia="Arial"/>
        </w:rPr>
        <w:t>2025 respectively.</w:t>
      </w:r>
    </w:p>
    <w:p w14:paraId="613A03C5" w14:textId="77777777" w:rsidR="001E759E" w:rsidRPr="00440A8F" w:rsidRDefault="001E759E" w:rsidP="00121A6D">
      <w:r w:rsidRPr="00440A8F">
        <w:br w:type="page"/>
      </w:r>
    </w:p>
    <w:p w14:paraId="4DC01F16" w14:textId="0CACEE2E" w:rsidR="009D70F5" w:rsidRPr="00B832E0" w:rsidRDefault="009D70F5" w:rsidP="001078E4">
      <w:pPr>
        <w:pStyle w:val="Heading2"/>
      </w:pPr>
      <w:bookmarkStart w:id="44" w:name="_Toc166165497"/>
      <w:r w:rsidRPr="00B832E0">
        <w:lastRenderedPageBreak/>
        <w:t>Defence</w:t>
      </w:r>
      <w:bookmarkEnd w:id="25"/>
      <w:bookmarkEnd w:id="44"/>
    </w:p>
    <w:p w14:paraId="2B9D79B8" w14:textId="77777777" w:rsidR="00AB7324" w:rsidRPr="00376BEF" w:rsidRDefault="00AB7324" w:rsidP="001078E4">
      <w:pPr>
        <w:pStyle w:val="Heading3"/>
        <w:rPr>
          <w:rFonts w:asciiTheme="majorHAnsi" w:hAnsiTheme="majorHAnsi" w:cstheme="majorHAnsi"/>
        </w:rPr>
      </w:pPr>
      <w:bookmarkStart w:id="45" w:name="_Toc71117779"/>
      <w:bookmarkStart w:id="46" w:name="_Toc99141857"/>
      <w:bookmarkStart w:id="47" w:name="_Toc166165498"/>
      <w:bookmarkStart w:id="48" w:name="_Toc99141861"/>
      <w:r w:rsidRPr="00376BEF">
        <w:rPr>
          <w:rFonts w:asciiTheme="majorHAnsi" w:hAnsiTheme="majorHAnsi" w:cstheme="majorHAnsi"/>
        </w:rPr>
        <w:t xml:space="preserve">Fiscal </w:t>
      </w:r>
      <w:bookmarkEnd w:id="45"/>
      <w:r w:rsidRPr="00376BEF">
        <w:rPr>
          <w:rFonts w:asciiTheme="majorHAnsi" w:hAnsiTheme="majorHAnsi" w:cstheme="majorHAnsi"/>
        </w:rPr>
        <w:t>Risks</w:t>
      </w:r>
      <w:bookmarkEnd w:id="46"/>
      <w:bookmarkEnd w:id="47"/>
    </w:p>
    <w:p w14:paraId="53535060" w14:textId="3F2F77BB" w:rsidR="00AB7324" w:rsidRPr="00B832E0" w:rsidRDefault="00AB7324" w:rsidP="001078E4">
      <w:pPr>
        <w:pStyle w:val="Heading4"/>
      </w:pPr>
      <w:r w:rsidRPr="00B832E0">
        <w:t>Implementation of the nuclear</w:t>
      </w:r>
      <w:r w:rsidR="00D737F9">
        <w:noBreakHyphen/>
      </w:r>
      <w:r w:rsidRPr="00B832E0">
        <w:t>powered submarine program</w:t>
      </w:r>
    </w:p>
    <w:p w14:paraId="3E3F461F" w14:textId="7C595749" w:rsidR="00AB7324" w:rsidRPr="007D3A31" w:rsidRDefault="00AB7324" w:rsidP="00121A6D">
      <w:pPr>
        <w:rPr>
          <w:rFonts w:eastAsia="Arial"/>
          <w:lang w:val="en-US"/>
        </w:rPr>
      </w:pPr>
      <w:r w:rsidRPr="00133205">
        <w:rPr>
          <w:rFonts w:eastAsia="Arial"/>
          <w:lang w:val="en-US"/>
        </w:rPr>
        <w:t xml:space="preserve">On 14 March 2023, the </w:t>
      </w:r>
      <w:r w:rsidR="001F3211">
        <w:rPr>
          <w:rFonts w:eastAsia="Arial"/>
          <w:lang w:val="en-US"/>
        </w:rPr>
        <w:t>Australian Government</w:t>
      </w:r>
      <w:r w:rsidRPr="00133205">
        <w:rPr>
          <w:rFonts w:eastAsia="Arial"/>
          <w:lang w:val="en-US"/>
        </w:rPr>
        <w:t>, alongside the governments of the United Kingdom and the United States of America, announced the optimal pathway for the nuclear</w:t>
      </w:r>
      <w:r w:rsidR="00D737F9">
        <w:rPr>
          <w:rFonts w:eastAsia="Arial"/>
          <w:lang w:val="en-US"/>
        </w:rPr>
        <w:noBreakHyphen/>
      </w:r>
      <w:r w:rsidRPr="00133205">
        <w:rPr>
          <w:rFonts w:eastAsia="Arial"/>
          <w:lang w:val="en-US"/>
        </w:rPr>
        <w:t>powered</w:t>
      </w:r>
      <w:r w:rsidRPr="007D3A31">
        <w:rPr>
          <w:rFonts w:eastAsia="Arial"/>
          <w:lang w:val="en-US"/>
        </w:rPr>
        <w:t xml:space="preserve"> submarine program for Australia under the AUKUS trilateral security partnership. </w:t>
      </w:r>
    </w:p>
    <w:p w14:paraId="1C71E589" w14:textId="7FAA57A9" w:rsidR="00AB7324" w:rsidRPr="007D3A31" w:rsidRDefault="00AB7324" w:rsidP="00121A6D">
      <w:pPr>
        <w:rPr>
          <w:rFonts w:eastAsia="Arial"/>
          <w:lang w:val="en-US"/>
        </w:rPr>
      </w:pPr>
      <w:r w:rsidRPr="004231A0">
        <w:rPr>
          <w:rFonts w:eastAsia="Arial"/>
          <w:lang w:val="en-US"/>
        </w:rPr>
        <w:t xml:space="preserve">The </w:t>
      </w:r>
      <w:r w:rsidR="001F3211">
        <w:rPr>
          <w:rFonts w:eastAsia="Arial"/>
          <w:lang w:val="en-US"/>
        </w:rPr>
        <w:t>Australian Government</w:t>
      </w:r>
      <w:r w:rsidRPr="004231A0">
        <w:rPr>
          <w:rFonts w:eastAsia="Arial"/>
          <w:lang w:val="en-US"/>
        </w:rPr>
        <w:t xml:space="preserve"> has agreed a number of measures to support the initial implementation of the nuclear</w:t>
      </w:r>
      <w:r w:rsidR="00D737F9">
        <w:rPr>
          <w:rFonts w:eastAsia="Arial"/>
          <w:lang w:val="en-US"/>
        </w:rPr>
        <w:noBreakHyphen/>
      </w:r>
      <w:r w:rsidRPr="004231A0">
        <w:rPr>
          <w:rFonts w:eastAsia="Arial"/>
          <w:lang w:val="en-US"/>
        </w:rPr>
        <w:t xml:space="preserve">powered submarine program, which have been outlined in </w:t>
      </w:r>
      <w:r>
        <w:rPr>
          <w:rFonts w:eastAsia="Arial"/>
          <w:lang w:val="en-US"/>
        </w:rPr>
        <w:t>B</w:t>
      </w:r>
      <w:r w:rsidRPr="00A27990">
        <w:rPr>
          <w:rFonts w:eastAsia="Arial"/>
          <w:lang w:val="en-US"/>
        </w:rPr>
        <w:t xml:space="preserve">udget </w:t>
      </w:r>
      <w:r>
        <w:rPr>
          <w:rFonts w:eastAsia="Arial"/>
          <w:lang w:val="en-US"/>
        </w:rPr>
        <w:t>p</w:t>
      </w:r>
      <w:r w:rsidRPr="00A27990">
        <w:rPr>
          <w:rFonts w:eastAsia="Arial"/>
          <w:lang w:val="en-US"/>
        </w:rPr>
        <w:t>apers since 2023</w:t>
      </w:r>
      <w:r w:rsidR="00CB05B6">
        <w:rPr>
          <w:rFonts w:eastAsia="Arial"/>
          <w:lang w:val="en-US"/>
        </w:rPr>
        <w:t>–</w:t>
      </w:r>
      <w:r w:rsidRPr="004231A0">
        <w:rPr>
          <w:rFonts w:eastAsia="Arial"/>
          <w:lang w:val="en-US"/>
        </w:rPr>
        <w:t>24.</w:t>
      </w:r>
      <w:r w:rsidRPr="007D3A31">
        <w:rPr>
          <w:rFonts w:eastAsia="Arial"/>
          <w:lang w:val="en-US"/>
        </w:rPr>
        <w:t xml:space="preserve"> </w:t>
      </w:r>
    </w:p>
    <w:p w14:paraId="587F7D2E" w14:textId="77A9406F" w:rsidR="00AB7324" w:rsidRDefault="00DE3064" w:rsidP="00121A6D">
      <w:pPr>
        <w:rPr>
          <w:rFonts w:ascii="Arial" w:hAnsi="Arial" w:cs="Arial"/>
          <w:color w:val="1F497D"/>
          <w:sz w:val="20"/>
        </w:rPr>
      </w:pPr>
      <w:r w:rsidRPr="00DE3064">
        <w:rPr>
          <w:lang w:val="en-US"/>
        </w:rPr>
        <w:t xml:space="preserve">The total costs associated with the program will </w:t>
      </w:r>
      <w:r w:rsidR="004552D4">
        <w:rPr>
          <w:lang w:val="en-US"/>
        </w:rPr>
        <w:t>d</w:t>
      </w:r>
      <w:r w:rsidR="004552D4" w:rsidRPr="00121A6D">
        <w:t xml:space="preserve">epend on the details of </w:t>
      </w:r>
      <w:r w:rsidRPr="00121A6D">
        <w:t xml:space="preserve">design and production processes and commercial and other arrangements, including the provision of indemnities, </w:t>
      </w:r>
      <w:r w:rsidR="0038781C" w:rsidRPr="00121A6D">
        <w:t xml:space="preserve">which will be </w:t>
      </w:r>
      <w:r w:rsidRPr="00121A6D">
        <w:t>finalised between governments and delivery partners</w:t>
      </w:r>
      <w:r w:rsidR="005C4DB8" w:rsidRPr="00121A6D">
        <w:t>.</w:t>
      </w:r>
    </w:p>
    <w:p w14:paraId="2DF22155" w14:textId="77777777" w:rsidR="00AB7324" w:rsidRPr="00053AA5" w:rsidRDefault="00AB7324" w:rsidP="005F0CD0">
      <w:pPr>
        <w:pStyle w:val="Heading4"/>
        <w:rPr>
          <w:rFonts w:eastAsia="Arial"/>
          <w:lang w:val="en-US"/>
        </w:rPr>
      </w:pPr>
      <w:bookmarkStart w:id="49" w:name="_Toc71117780"/>
      <w:r w:rsidRPr="00053AA5">
        <w:rPr>
          <w:rFonts w:eastAsia="Arial"/>
          <w:lang w:val="en-US"/>
        </w:rPr>
        <w:t xml:space="preserve">Major operations of the Australian Defence Force in </w:t>
      </w:r>
      <w:bookmarkEnd w:id="49"/>
      <w:r w:rsidRPr="00053AA5">
        <w:rPr>
          <w:rFonts w:eastAsia="Arial"/>
          <w:bCs/>
          <w:lang w:val="en-US"/>
        </w:rPr>
        <w:t>202</w:t>
      </w:r>
      <w:r w:rsidRPr="004231A0">
        <w:rPr>
          <w:rFonts w:eastAsia="Arial"/>
          <w:bCs/>
          <w:lang w:val="en-US"/>
        </w:rPr>
        <w:t>4</w:t>
      </w:r>
      <w:r w:rsidRPr="00053AA5">
        <w:rPr>
          <w:rFonts w:eastAsia="Arial"/>
          <w:bCs/>
          <w:lang w:val="en-US"/>
        </w:rPr>
        <w:t>–2</w:t>
      </w:r>
      <w:r w:rsidRPr="004231A0">
        <w:rPr>
          <w:rFonts w:eastAsia="Arial"/>
          <w:bCs/>
          <w:lang w:val="en-US"/>
        </w:rPr>
        <w:t>5</w:t>
      </w:r>
    </w:p>
    <w:p w14:paraId="3CF588A1" w14:textId="5EEC86D2" w:rsidR="00AB7324" w:rsidRPr="00A0331A" w:rsidRDefault="00AB7324" w:rsidP="005F0CD0">
      <w:pPr>
        <w:rPr>
          <w:rFonts w:eastAsia="Arial"/>
          <w:lang w:val="en-US"/>
        </w:rPr>
      </w:pPr>
      <w:bookmarkStart w:id="50" w:name="_Toc71117781"/>
      <w:bookmarkStart w:id="51" w:name="_Toc99141858"/>
      <w:r w:rsidRPr="00A0331A">
        <w:rPr>
          <w:rFonts w:eastAsia="Arial"/>
          <w:lang w:val="en-US"/>
        </w:rPr>
        <w:t>The 202</w:t>
      </w:r>
      <w:r w:rsidRPr="004231A0">
        <w:rPr>
          <w:rFonts w:eastAsia="Arial"/>
          <w:lang w:val="en-US"/>
        </w:rPr>
        <w:t>4</w:t>
      </w:r>
      <w:r w:rsidRPr="00053AA5">
        <w:rPr>
          <w:rFonts w:eastAsia="Arial"/>
          <w:lang w:val="en-US"/>
        </w:rPr>
        <w:t>–2</w:t>
      </w:r>
      <w:r w:rsidRPr="004231A0">
        <w:rPr>
          <w:rFonts w:eastAsia="Arial"/>
          <w:lang w:val="en-US"/>
        </w:rPr>
        <w:t>5</w:t>
      </w:r>
      <w:r w:rsidRPr="00053AA5">
        <w:rPr>
          <w:rFonts w:eastAsia="Arial"/>
          <w:lang w:val="en-US"/>
        </w:rPr>
        <w:t xml:space="preserve"> estimates for the Department of Defence include the cost of major operations of the </w:t>
      </w:r>
      <w:r w:rsidRPr="006F1E97">
        <w:rPr>
          <w:rFonts w:eastAsia="Arial"/>
        </w:rPr>
        <w:t>Australian</w:t>
      </w:r>
      <w:r w:rsidRPr="00272A7E">
        <w:rPr>
          <w:rFonts w:eastAsia="Arial"/>
        </w:rPr>
        <w:t xml:space="preserve"> Defence Force in 2024–25 in the Middle East region, and to protect Australia</w:t>
      </w:r>
      <w:r w:rsidR="00D737F9">
        <w:rPr>
          <w:rFonts w:eastAsia="Arial"/>
        </w:rPr>
        <w:t>’</w:t>
      </w:r>
      <w:r w:rsidRPr="00272A7E">
        <w:rPr>
          <w:rFonts w:eastAsia="Arial"/>
        </w:rPr>
        <w:t>s borders and offshore maritime interests. Funding for major Defence operations is considered and provisioned on a year</w:t>
      </w:r>
      <w:r w:rsidR="00D737F9">
        <w:rPr>
          <w:rFonts w:eastAsia="Arial"/>
          <w:lang w:val="en-US"/>
        </w:rPr>
        <w:noBreakHyphen/>
      </w:r>
      <w:r w:rsidRPr="00A0331A">
        <w:rPr>
          <w:rFonts w:eastAsia="Arial"/>
          <w:lang w:val="en-US"/>
        </w:rPr>
        <w:t>by</w:t>
      </w:r>
      <w:r w:rsidR="00D737F9">
        <w:rPr>
          <w:rFonts w:eastAsia="Arial"/>
          <w:lang w:val="en-US"/>
        </w:rPr>
        <w:noBreakHyphen/>
      </w:r>
      <w:r w:rsidRPr="00A0331A">
        <w:rPr>
          <w:rFonts w:eastAsia="Arial"/>
          <w:lang w:val="en-US"/>
        </w:rPr>
        <w:t xml:space="preserve">year basis. </w:t>
      </w:r>
    </w:p>
    <w:p w14:paraId="32875EA8" w14:textId="77777777" w:rsidR="00AB7324" w:rsidRPr="00376BEF" w:rsidRDefault="00AB7324" w:rsidP="001078E4">
      <w:pPr>
        <w:pStyle w:val="Heading3"/>
        <w:rPr>
          <w:rFonts w:asciiTheme="majorHAnsi" w:hAnsiTheme="majorHAnsi" w:cstheme="majorHAnsi"/>
        </w:rPr>
      </w:pPr>
      <w:bookmarkStart w:id="52" w:name="_Toc166165499"/>
      <w:r w:rsidRPr="00376BEF">
        <w:rPr>
          <w:rFonts w:asciiTheme="majorHAnsi" w:hAnsiTheme="majorHAnsi" w:cstheme="majorHAnsi"/>
        </w:rPr>
        <w:t>Significant but remote contingenc</w:t>
      </w:r>
      <w:bookmarkEnd w:id="50"/>
      <w:r w:rsidRPr="00376BEF">
        <w:rPr>
          <w:rFonts w:asciiTheme="majorHAnsi" w:hAnsiTheme="majorHAnsi" w:cstheme="majorHAnsi"/>
        </w:rPr>
        <w:t>ies</w:t>
      </w:r>
      <w:bookmarkEnd w:id="51"/>
      <w:bookmarkEnd w:id="52"/>
    </w:p>
    <w:p w14:paraId="0E472887" w14:textId="7186A8B9" w:rsidR="00AB7324" w:rsidRPr="00B832E0" w:rsidRDefault="00AB7324" w:rsidP="001078E4">
      <w:pPr>
        <w:pStyle w:val="Heading4"/>
      </w:pPr>
      <w:bookmarkStart w:id="53" w:name="_Toc71117782"/>
      <w:r w:rsidRPr="00B832E0">
        <w:t>ADI Limited – Officers</w:t>
      </w:r>
      <w:r w:rsidR="00D737F9">
        <w:t>’</w:t>
      </w:r>
      <w:r w:rsidRPr="00B832E0">
        <w:t xml:space="preserve"> and Directors</w:t>
      </w:r>
      <w:r w:rsidR="00D737F9">
        <w:t>’</w:t>
      </w:r>
      <w:r w:rsidRPr="00B832E0">
        <w:t xml:space="preserve"> indemnities</w:t>
      </w:r>
      <w:bookmarkEnd w:id="53"/>
    </w:p>
    <w:p w14:paraId="5AEA802F" w14:textId="6573B51B" w:rsidR="00AB7324" w:rsidRPr="00B832E0" w:rsidRDefault="00AB7324" w:rsidP="001078E4">
      <w:pPr>
        <w:rPr>
          <w:rFonts w:eastAsia="Book Antiqua"/>
        </w:rPr>
      </w:pPr>
      <w:r w:rsidRPr="00B832E0">
        <w:rPr>
          <w:rFonts w:eastAsia="Book Antiqua"/>
        </w:rPr>
        <w:t>Under the sale agreements for ADI</w:t>
      </w:r>
      <w:r>
        <w:rPr>
          <w:rFonts w:eastAsia="Book Antiqua"/>
        </w:rPr>
        <w:t> </w:t>
      </w:r>
      <w:r w:rsidRPr="00B832E0">
        <w:rPr>
          <w:rFonts w:eastAsia="Book Antiqua"/>
        </w:rPr>
        <w:t xml:space="preserve">Limited, the </w:t>
      </w:r>
      <w:r w:rsidR="001F3211">
        <w:rPr>
          <w:rFonts w:eastAsia="Book Antiqua"/>
        </w:rPr>
        <w:t>Australian Government</w:t>
      </w:r>
      <w:r w:rsidRPr="00B832E0">
        <w:rPr>
          <w:rFonts w:eastAsia="Book Antiqua"/>
        </w:rPr>
        <w:t xml:space="preserve"> agreed to indemnify the </w:t>
      </w:r>
      <w:r>
        <w:rPr>
          <w:rFonts w:eastAsia="Book Antiqua"/>
        </w:rPr>
        <w:t>d</w:t>
      </w:r>
      <w:r w:rsidRPr="00B832E0">
        <w:rPr>
          <w:rFonts w:eastAsia="Book Antiqua"/>
        </w:rPr>
        <w:t>irectors, officers and employees of ADI</w:t>
      </w:r>
      <w:r>
        <w:rPr>
          <w:rFonts w:eastAsia="Book Antiqua"/>
        </w:rPr>
        <w:t> </w:t>
      </w:r>
      <w:r w:rsidRPr="00B832E0">
        <w:rPr>
          <w:rFonts w:eastAsia="Book Antiqua"/>
        </w:rPr>
        <w:t>Limited for claims and legal costs</w:t>
      </w:r>
      <w:r w:rsidRPr="00B832E0">
        <w:rPr>
          <w:rFonts w:eastAsia="Book Antiqua"/>
          <w:spacing w:val="-16"/>
        </w:rPr>
        <w:t xml:space="preserve"> </w:t>
      </w:r>
      <w:r w:rsidRPr="00B832E0">
        <w:rPr>
          <w:rFonts w:eastAsia="Book Antiqua"/>
        </w:rPr>
        <w:t>associated</w:t>
      </w:r>
      <w:r w:rsidRPr="00B832E0">
        <w:rPr>
          <w:rFonts w:eastAsia="Book Antiqua"/>
          <w:spacing w:val="-11"/>
        </w:rPr>
        <w:t xml:space="preserve"> </w:t>
      </w:r>
      <w:r w:rsidRPr="00B832E0">
        <w:rPr>
          <w:rFonts w:eastAsia="Book Antiqua"/>
        </w:rPr>
        <w:t>wi</w:t>
      </w:r>
      <w:r w:rsidRPr="00272A7E">
        <w:rPr>
          <w:rFonts w:eastAsia="Book Antiqua"/>
        </w:rPr>
        <w:t xml:space="preserve">th assistance related to the sale of the </w:t>
      </w:r>
      <w:r w:rsidR="001F3211">
        <w:rPr>
          <w:rFonts w:eastAsia="Book Antiqua"/>
        </w:rPr>
        <w:t>Australian Government</w:t>
      </w:r>
      <w:r w:rsidR="00D737F9">
        <w:rPr>
          <w:rFonts w:eastAsia="Book Antiqua"/>
        </w:rPr>
        <w:t>’</w:t>
      </w:r>
      <w:r w:rsidRPr="00272A7E">
        <w:rPr>
          <w:rFonts w:eastAsia="Book Antiqua"/>
        </w:rPr>
        <w:t xml:space="preserve">s shares in the company. The </w:t>
      </w:r>
      <w:r w:rsidR="001F3211">
        <w:rPr>
          <w:rFonts w:eastAsia="Book Antiqua"/>
        </w:rPr>
        <w:t>Australian Government</w:t>
      </w:r>
      <w:r w:rsidRPr="00272A7E">
        <w:rPr>
          <w:rFonts w:eastAsia="Book Antiqua"/>
        </w:rPr>
        <w:t xml:space="preserve"> has also provided an indemnity to ADI</w:t>
      </w:r>
      <w:r w:rsidRPr="00272A7E">
        <w:rPr>
          <w:rFonts w:eastAsia="Book Antiqua" w:hint="cs"/>
        </w:rPr>
        <w:t> </w:t>
      </w:r>
      <w:r w:rsidRPr="00272A7E">
        <w:rPr>
          <w:rFonts w:eastAsia="Book Antiqua"/>
        </w:rPr>
        <w:t>Limited for uninsured losses relating to specific heads of cla</w:t>
      </w:r>
      <w:r w:rsidRPr="00B832E0">
        <w:rPr>
          <w:rFonts w:eastAsia="Book Antiqua"/>
        </w:rPr>
        <w:t>ims.</w:t>
      </w:r>
    </w:p>
    <w:p w14:paraId="71446D4D" w14:textId="77777777" w:rsidR="00AB7324" w:rsidRPr="00B832E0" w:rsidRDefault="00AB7324" w:rsidP="001078E4">
      <w:pPr>
        <w:pStyle w:val="Heading4"/>
      </w:pPr>
      <w:bookmarkStart w:id="54" w:name="_Toc71117783"/>
      <w:r w:rsidRPr="00B832E0">
        <w:t>Litigation cases</w:t>
      </w:r>
      <w:bookmarkEnd w:id="54"/>
    </w:p>
    <w:p w14:paraId="69222831" w14:textId="77777777" w:rsidR="00AB7324" w:rsidRDefault="00AB7324" w:rsidP="00272A7E">
      <w:r w:rsidRPr="00B832E0">
        <w:t>The</w:t>
      </w:r>
      <w:r w:rsidRPr="00B832E0">
        <w:rPr>
          <w:spacing w:val="-8"/>
        </w:rPr>
        <w:t xml:space="preserve"> </w:t>
      </w:r>
      <w:r w:rsidRPr="00B832E0">
        <w:t>Department</w:t>
      </w:r>
      <w:r w:rsidRPr="00B832E0">
        <w:rPr>
          <w:spacing w:val="-6"/>
        </w:rPr>
        <w:t xml:space="preserve"> </w:t>
      </w:r>
      <w:r w:rsidRPr="00B832E0">
        <w:t>of</w:t>
      </w:r>
      <w:r w:rsidRPr="00B832E0">
        <w:rPr>
          <w:spacing w:val="-6"/>
        </w:rPr>
        <w:t xml:space="preserve"> </w:t>
      </w:r>
      <w:r w:rsidRPr="00B832E0">
        <w:t>Defence</w:t>
      </w:r>
      <w:r w:rsidRPr="00B832E0">
        <w:rPr>
          <w:spacing w:val="-5"/>
        </w:rPr>
        <w:t xml:space="preserve"> </w:t>
      </w:r>
      <w:r w:rsidRPr="00B832E0">
        <w:t>is</w:t>
      </w:r>
      <w:r w:rsidRPr="00B832E0">
        <w:rPr>
          <w:spacing w:val="-9"/>
        </w:rPr>
        <w:t xml:space="preserve"> </w:t>
      </w:r>
      <w:r w:rsidRPr="00B832E0">
        <w:t>involved</w:t>
      </w:r>
      <w:r w:rsidRPr="00B832E0">
        <w:rPr>
          <w:spacing w:val="-5"/>
        </w:rPr>
        <w:t xml:space="preserve"> </w:t>
      </w:r>
      <w:r w:rsidRPr="00B832E0">
        <w:t>in</w:t>
      </w:r>
      <w:r w:rsidRPr="00B832E0">
        <w:rPr>
          <w:spacing w:val="-8"/>
        </w:rPr>
        <w:t xml:space="preserve"> </w:t>
      </w:r>
      <w:r w:rsidRPr="00B832E0">
        <w:t>a</w:t>
      </w:r>
      <w:r w:rsidRPr="00B832E0">
        <w:rPr>
          <w:spacing w:val="-4"/>
        </w:rPr>
        <w:t xml:space="preserve"> </w:t>
      </w:r>
      <w:r w:rsidRPr="00B832E0">
        <w:t>wide</w:t>
      </w:r>
      <w:r w:rsidRPr="00B832E0">
        <w:rPr>
          <w:spacing w:val="-6"/>
        </w:rPr>
        <w:t xml:space="preserve"> </w:t>
      </w:r>
      <w:r w:rsidRPr="00B832E0">
        <w:t>range</w:t>
      </w:r>
      <w:r w:rsidRPr="00B832E0">
        <w:rPr>
          <w:spacing w:val="-5"/>
        </w:rPr>
        <w:t xml:space="preserve"> </w:t>
      </w:r>
      <w:r w:rsidRPr="00B832E0">
        <w:t>of</w:t>
      </w:r>
      <w:r w:rsidRPr="00B832E0">
        <w:rPr>
          <w:spacing w:val="-7"/>
        </w:rPr>
        <w:t xml:space="preserve"> </w:t>
      </w:r>
      <w:r w:rsidRPr="00B832E0">
        <w:t>litigation</w:t>
      </w:r>
      <w:r w:rsidRPr="00B832E0">
        <w:rPr>
          <w:spacing w:val="-8"/>
        </w:rPr>
        <w:t xml:space="preserve"> </w:t>
      </w:r>
      <w:r w:rsidRPr="00B832E0">
        <w:t>and</w:t>
      </w:r>
      <w:r w:rsidRPr="00B832E0">
        <w:rPr>
          <w:spacing w:val="-5"/>
        </w:rPr>
        <w:t xml:space="preserve"> </w:t>
      </w:r>
      <w:r w:rsidRPr="00B832E0">
        <w:t>other claims</w:t>
      </w:r>
      <w:r w:rsidRPr="00B832E0">
        <w:rPr>
          <w:spacing w:val="-12"/>
        </w:rPr>
        <w:t xml:space="preserve"> </w:t>
      </w:r>
      <w:r w:rsidRPr="00B832E0">
        <w:t>for</w:t>
      </w:r>
      <w:r w:rsidRPr="00B832E0">
        <w:rPr>
          <w:spacing w:val="-11"/>
        </w:rPr>
        <w:t xml:space="preserve"> </w:t>
      </w:r>
      <w:r w:rsidRPr="00B832E0">
        <w:t>compensation</w:t>
      </w:r>
      <w:r w:rsidRPr="00B832E0">
        <w:rPr>
          <w:spacing w:val="-12"/>
        </w:rPr>
        <w:t xml:space="preserve"> </w:t>
      </w:r>
      <w:r w:rsidRPr="00B832E0">
        <w:t>and/or</w:t>
      </w:r>
      <w:r w:rsidRPr="00B832E0">
        <w:rPr>
          <w:spacing w:val="-11"/>
        </w:rPr>
        <w:t xml:space="preserve"> </w:t>
      </w:r>
      <w:r w:rsidRPr="00B832E0">
        <w:t>damages</w:t>
      </w:r>
      <w:r w:rsidRPr="00B832E0">
        <w:rPr>
          <w:spacing w:val="-12"/>
        </w:rPr>
        <w:t xml:space="preserve"> </w:t>
      </w:r>
      <w:r w:rsidRPr="00B832E0">
        <w:t>that</w:t>
      </w:r>
      <w:r w:rsidRPr="00B832E0">
        <w:rPr>
          <w:spacing w:val="-12"/>
        </w:rPr>
        <w:t xml:space="preserve"> </w:t>
      </w:r>
      <w:r w:rsidRPr="00B832E0">
        <w:t>may</w:t>
      </w:r>
      <w:r w:rsidRPr="00B832E0">
        <w:rPr>
          <w:spacing w:val="-10"/>
        </w:rPr>
        <w:t xml:space="preserve"> </w:t>
      </w:r>
      <w:r w:rsidRPr="00B832E0">
        <w:t>result</w:t>
      </w:r>
      <w:r w:rsidRPr="00B832E0">
        <w:rPr>
          <w:spacing w:val="-12"/>
        </w:rPr>
        <w:t xml:space="preserve"> </w:t>
      </w:r>
      <w:r w:rsidRPr="00B832E0">
        <w:t>in</w:t>
      </w:r>
      <w:r w:rsidRPr="00B832E0">
        <w:rPr>
          <w:spacing w:val="-12"/>
        </w:rPr>
        <w:t xml:space="preserve"> </w:t>
      </w:r>
      <w:r w:rsidRPr="00B832E0">
        <w:t>litigation</w:t>
      </w:r>
      <w:r w:rsidRPr="00B832E0">
        <w:rPr>
          <w:spacing w:val="-10"/>
        </w:rPr>
        <w:t xml:space="preserve"> </w:t>
      </w:r>
      <w:r w:rsidRPr="00B832E0">
        <w:t>where</w:t>
      </w:r>
      <w:r w:rsidRPr="00B832E0">
        <w:rPr>
          <w:spacing w:val="-11"/>
        </w:rPr>
        <w:t xml:space="preserve"> </w:t>
      </w:r>
      <w:r w:rsidRPr="00B832E0">
        <w:t>the</w:t>
      </w:r>
      <w:r w:rsidRPr="00B832E0">
        <w:rPr>
          <w:spacing w:val="-11"/>
        </w:rPr>
        <w:t xml:space="preserve"> </w:t>
      </w:r>
      <w:r w:rsidRPr="00B832E0">
        <w:t xml:space="preserve">matters are not able to be finalised by negotiation. </w:t>
      </w:r>
    </w:p>
    <w:p w14:paraId="5E6CDE81" w14:textId="77777777" w:rsidR="00AB7324" w:rsidRDefault="00AB7324" w:rsidP="00121A6D">
      <w:pPr>
        <w:keepNext/>
        <w:keepLines/>
      </w:pPr>
      <w:r w:rsidRPr="00B832E0">
        <w:lastRenderedPageBreak/>
        <w:t>The litigation includes</w:t>
      </w:r>
      <w:r>
        <w:t>:</w:t>
      </w:r>
    </w:p>
    <w:p w14:paraId="11A0DAA0" w14:textId="526AED55" w:rsidR="00AB7324" w:rsidRDefault="00AB7324" w:rsidP="00121A6D">
      <w:pPr>
        <w:pStyle w:val="Bullet"/>
        <w:keepNext/>
        <w:keepLines/>
        <w:ind w:left="283" w:hanging="283"/>
      </w:pPr>
      <w:r w:rsidRPr="00B832E0">
        <w:t xml:space="preserve">common law liability claims, including for personal injury and property damage, </w:t>
      </w:r>
      <w:r w:rsidRPr="00B832E0">
        <w:rPr>
          <w:spacing w:val="-5"/>
        </w:rPr>
        <w:t xml:space="preserve">investigations </w:t>
      </w:r>
      <w:r w:rsidRPr="00B832E0">
        <w:t>of Defence</w:t>
      </w:r>
      <w:r w:rsidRPr="00B832E0">
        <w:rPr>
          <w:spacing w:val="-6"/>
        </w:rPr>
        <w:t xml:space="preserve"> </w:t>
      </w:r>
      <w:r w:rsidRPr="00B832E0">
        <w:t>by</w:t>
      </w:r>
      <w:r w:rsidRPr="00B832E0">
        <w:rPr>
          <w:spacing w:val="-7"/>
        </w:rPr>
        <w:t xml:space="preserve"> </w:t>
      </w:r>
      <w:r w:rsidRPr="00B832E0">
        <w:t xml:space="preserve">Comcare and active prosecutions </w:t>
      </w:r>
      <w:r w:rsidRPr="00B832E0">
        <w:rPr>
          <w:spacing w:val="-6"/>
        </w:rPr>
        <w:t>in</w:t>
      </w:r>
      <w:r w:rsidRPr="00B832E0">
        <w:rPr>
          <w:spacing w:val="-7"/>
        </w:rPr>
        <w:t xml:space="preserve"> </w:t>
      </w:r>
      <w:r w:rsidRPr="00B832E0">
        <w:t>relation</w:t>
      </w:r>
      <w:r w:rsidRPr="00B832E0">
        <w:rPr>
          <w:spacing w:val="-8"/>
        </w:rPr>
        <w:t xml:space="preserve"> </w:t>
      </w:r>
      <w:r w:rsidRPr="00B832E0">
        <w:t>to</w:t>
      </w:r>
      <w:r w:rsidRPr="00B832E0">
        <w:rPr>
          <w:spacing w:val="-8"/>
        </w:rPr>
        <w:t xml:space="preserve"> </w:t>
      </w:r>
      <w:r w:rsidRPr="00B832E0">
        <w:t>alleged</w:t>
      </w:r>
      <w:r w:rsidRPr="00B832E0">
        <w:rPr>
          <w:spacing w:val="-6"/>
        </w:rPr>
        <w:t xml:space="preserve"> </w:t>
      </w:r>
      <w:r w:rsidRPr="00B832E0">
        <w:t xml:space="preserve">breaches of the </w:t>
      </w:r>
      <w:r w:rsidRPr="00164448">
        <w:rPr>
          <w:rStyle w:val="Emphasis"/>
        </w:rPr>
        <w:t>Work</w:t>
      </w:r>
      <w:r w:rsidRPr="00164448">
        <w:rPr>
          <w:rStyle w:val="Emphasis"/>
          <w:rFonts w:hint="eastAsia"/>
        </w:rPr>
        <w:t> </w:t>
      </w:r>
      <w:r w:rsidRPr="00164448">
        <w:rPr>
          <w:rStyle w:val="Emphasis"/>
        </w:rPr>
        <w:t>Health and Safety Act 2011</w:t>
      </w:r>
    </w:p>
    <w:p w14:paraId="62EFE4D8" w14:textId="6903A169" w:rsidR="00AB7324" w:rsidRDefault="00AB7324" w:rsidP="001078E4">
      <w:pPr>
        <w:pStyle w:val="Bullet"/>
        <w:ind w:left="283" w:hanging="283"/>
      </w:pPr>
      <w:r w:rsidRPr="00B832E0">
        <w:t>claims seeking compensation for alleged loss or damage arising from Defence use of</w:t>
      </w:r>
      <w:r w:rsidR="00121A6D">
        <w:t> </w:t>
      </w:r>
      <w:r w:rsidRPr="00B832E0">
        <w:t>aqueous film forming foam that contained manmade per</w:t>
      </w:r>
      <w:r w:rsidR="00D737F9">
        <w:noBreakHyphen/>
      </w:r>
      <w:r w:rsidRPr="00B832E0">
        <w:t xml:space="preserve"> and poly</w:t>
      </w:r>
      <w:r w:rsidR="00D737F9">
        <w:noBreakHyphen/>
      </w:r>
      <w:r w:rsidRPr="00B832E0">
        <w:t>fluoroalkyl substances</w:t>
      </w:r>
    </w:p>
    <w:p w14:paraId="282B1F91" w14:textId="77777777" w:rsidR="00AB7324" w:rsidRPr="00121A6D" w:rsidRDefault="00AB7324" w:rsidP="001078E4">
      <w:pPr>
        <w:pStyle w:val="Bullet"/>
        <w:ind w:left="283" w:hanging="283"/>
        <w:rPr>
          <w:spacing w:val="-2"/>
        </w:rPr>
      </w:pPr>
      <w:r w:rsidRPr="00121A6D">
        <w:rPr>
          <w:spacing w:val="-2"/>
        </w:rPr>
        <w:t>claims received following reviews into the Australian Defence Force and Defence culture</w:t>
      </w:r>
      <w:r w:rsidRPr="007119B5">
        <w:rPr>
          <w:spacing w:val="-2"/>
        </w:rPr>
        <w:t>.</w:t>
      </w:r>
      <w:r w:rsidRPr="00121A6D">
        <w:rPr>
          <w:spacing w:val="-2"/>
        </w:rPr>
        <w:t xml:space="preserve"> </w:t>
      </w:r>
    </w:p>
    <w:p w14:paraId="1966C323" w14:textId="77777777" w:rsidR="00AB7324" w:rsidRPr="00B832E0" w:rsidRDefault="00AB7324" w:rsidP="001078E4">
      <w:r>
        <w:t>C</w:t>
      </w:r>
      <w:r w:rsidRPr="00B832E0">
        <w:t>laims may also arise from the disposal of assets to third parties where such assets contain hazardous materials, or components that have the potential to cause injury.</w:t>
      </w:r>
    </w:p>
    <w:p w14:paraId="1658D7CE" w14:textId="77777777" w:rsidR="00AB7324" w:rsidRPr="006460F9" w:rsidRDefault="00AB7324" w:rsidP="001078E4">
      <w:pPr>
        <w:pStyle w:val="Heading4"/>
      </w:pPr>
      <w:bookmarkStart w:id="55" w:name="_Toc71117784"/>
      <w:bookmarkStart w:id="56" w:name="_Hlk148351463"/>
      <w:bookmarkStart w:id="57" w:name="_Hlk148524785"/>
      <w:bookmarkStart w:id="58" w:name="_Toc99141859"/>
      <w:bookmarkStart w:id="59" w:name="_Toc71117788"/>
      <w:r w:rsidRPr="006460F9">
        <w:t>Remote contingencies</w:t>
      </w:r>
      <w:bookmarkEnd w:id="55"/>
    </w:p>
    <w:bookmarkEnd w:id="56"/>
    <w:p w14:paraId="695BB540" w14:textId="77777777" w:rsidR="00AB7324" w:rsidRPr="00C21176" w:rsidRDefault="00AB7324" w:rsidP="00121A6D">
      <w:pPr>
        <w:rPr>
          <w:rFonts w:eastAsia="Arial"/>
          <w:lang w:val="en-US"/>
        </w:rPr>
      </w:pPr>
      <w:r w:rsidRPr="00C21176">
        <w:rPr>
          <w:rFonts w:eastAsia="Arial"/>
          <w:lang w:val="en-US"/>
        </w:rPr>
        <w:t>As at 30</w:t>
      </w:r>
      <w:r w:rsidRPr="00C21176">
        <w:rPr>
          <w:rFonts w:eastAsia="Arial" w:hint="eastAsia"/>
          <w:lang w:val="en-US"/>
        </w:rPr>
        <w:t> </w:t>
      </w:r>
      <w:r w:rsidRPr="00C21176">
        <w:rPr>
          <w:rFonts w:eastAsia="Arial"/>
          <w:lang w:val="en-US"/>
        </w:rPr>
        <w:t>June</w:t>
      </w:r>
      <w:r w:rsidRPr="00C21176">
        <w:rPr>
          <w:rFonts w:eastAsia="Arial" w:hint="eastAsia"/>
          <w:lang w:val="en-US"/>
        </w:rPr>
        <w:t> </w:t>
      </w:r>
      <w:r w:rsidRPr="00C21176">
        <w:rPr>
          <w:rFonts w:eastAsia="Arial"/>
          <w:lang w:val="en-US"/>
        </w:rPr>
        <w:t>2023, the Department of Defence carried 273 instances of quantifiable remote contingent liabilities valued at $3.9</w:t>
      </w:r>
      <w:r w:rsidRPr="00C21176">
        <w:rPr>
          <w:rFonts w:eastAsia="Arial" w:hint="eastAsia"/>
          <w:lang w:val="en-US"/>
        </w:rPr>
        <w:t> billion</w:t>
      </w:r>
      <w:r w:rsidRPr="00C21176">
        <w:rPr>
          <w:rFonts w:eastAsia="Arial"/>
          <w:lang w:val="en-US"/>
        </w:rPr>
        <w:t xml:space="preserve"> and 1,413 instances of unquantifiable remote contingent liabilities.</w:t>
      </w:r>
    </w:p>
    <w:p w14:paraId="7E455A06" w14:textId="77777777" w:rsidR="00AB7324" w:rsidRPr="00C21176" w:rsidRDefault="00AB7324" w:rsidP="00121A6D">
      <w:pPr>
        <w:rPr>
          <w:rFonts w:eastAsia="Arial"/>
          <w:lang w:val="en-US"/>
        </w:rPr>
      </w:pPr>
      <w:r w:rsidRPr="00C21176">
        <w:rPr>
          <w:rFonts w:eastAsia="Arial"/>
          <w:lang w:val="en-US"/>
        </w:rPr>
        <w:t>Details of these significant but remote contingent liabilities are not given due to commercial and/or national security sensitivities.</w:t>
      </w:r>
    </w:p>
    <w:p w14:paraId="459B8919" w14:textId="77777777" w:rsidR="00AB7324" w:rsidRPr="00B832E0" w:rsidRDefault="00AB7324" w:rsidP="001078E4">
      <w:pPr>
        <w:pStyle w:val="Heading3"/>
      </w:pPr>
      <w:bookmarkStart w:id="60" w:name="_Toc166165500"/>
      <w:bookmarkEnd w:id="57"/>
      <w:r w:rsidRPr="00B832E0">
        <w:t>Contingent liabilities – unquantifiable</w:t>
      </w:r>
      <w:bookmarkEnd w:id="58"/>
      <w:bookmarkEnd w:id="60"/>
    </w:p>
    <w:p w14:paraId="7AE753BA" w14:textId="77777777" w:rsidR="00AB7324" w:rsidRPr="00B832E0" w:rsidRDefault="00AB7324" w:rsidP="001078E4">
      <w:pPr>
        <w:pStyle w:val="Heading4"/>
      </w:pPr>
      <w:bookmarkStart w:id="61" w:name="_Toc71117786"/>
      <w:r w:rsidRPr="00B832E0">
        <w:t>Cockatoo Island Dockyard</w:t>
      </w:r>
      <w:bookmarkEnd w:id="61"/>
    </w:p>
    <w:p w14:paraId="178409FF" w14:textId="14E52F1F" w:rsidR="00AB7324" w:rsidRPr="00B832E0" w:rsidRDefault="00AB7324" w:rsidP="00121A6D">
      <w:r w:rsidRPr="00B832E0">
        <w:t>On 13</w:t>
      </w:r>
      <w:r w:rsidRPr="00B832E0">
        <w:rPr>
          <w:rFonts w:hint="eastAsia"/>
        </w:rPr>
        <w:t> </w:t>
      </w:r>
      <w:r w:rsidRPr="00B832E0">
        <w:t>October</w:t>
      </w:r>
      <w:r w:rsidRPr="00B832E0">
        <w:rPr>
          <w:rFonts w:hint="eastAsia"/>
        </w:rPr>
        <w:t> </w:t>
      </w:r>
      <w:r w:rsidRPr="00B832E0">
        <w:t>2001, Cockatoo Island Dockyard</w:t>
      </w:r>
      <w:r w:rsidRPr="00B832E0" w:rsidDel="003148BF">
        <w:t xml:space="preserve"> </w:t>
      </w:r>
      <w:r w:rsidRPr="00B832E0">
        <w:t xml:space="preserve">commenced proceedings against </w:t>
      </w:r>
      <w:r>
        <w:t>the Commonwealth</w:t>
      </w:r>
      <w:r w:rsidRPr="00B832E0">
        <w:t xml:space="preserve"> in the New</w:t>
      </w:r>
      <w:r w:rsidRPr="00B832E0">
        <w:rPr>
          <w:rFonts w:hint="eastAsia"/>
        </w:rPr>
        <w:t> </w:t>
      </w:r>
      <w:r w:rsidRPr="00B832E0">
        <w:t>South</w:t>
      </w:r>
      <w:r w:rsidRPr="00B832E0">
        <w:rPr>
          <w:rFonts w:hint="eastAsia"/>
        </w:rPr>
        <w:t> </w:t>
      </w:r>
      <w:r w:rsidRPr="00B832E0">
        <w:t>Wales</w:t>
      </w:r>
      <w:r w:rsidRPr="00B832E0">
        <w:rPr>
          <w:rFonts w:hint="eastAsia"/>
        </w:rPr>
        <w:t> </w:t>
      </w:r>
      <w:r w:rsidRPr="00B832E0">
        <w:t>(NSW) Supreme</w:t>
      </w:r>
      <w:r>
        <w:t> </w:t>
      </w:r>
      <w:r w:rsidRPr="00B832E0">
        <w:t>Court seeking full reimbursement from the Australian</w:t>
      </w:r>
      <w:r w:rsidRPr="00B832E0">
        <w:rPr>
          <w:rFonts w:hint="eastAsia"/>
        </w:rPr>
        <w:t> </w:t>
      </w:r>
      <w:r w:rsidRPr="00B832E0">
        <w:t>Government for personal injury claims costs incurred</w:t>
      </w:r>
      <w:r w:rsidR="00345C4E">
        <w:t> </w:t>
      </w:r>
      <w:r w:rsidRPr="00B832E0">
        <w:t>after 31</w:t>
      </w:r>
      <w:r w:rsidRPr="00B832E0">
        <w:rPr>
          <w:rFonts w:hint="eastAsia"/>
        </w:rPr>
        <w:t> </w:t>
      </w:r>
      <w:r w:rsidRPr="00B832E0">
        <w:t>October</w:t>
      </w:r>
      <w:r w:rsidRPr="00B832E0">
        <w:rPr>
          <w:rFonts w:hint="eastAsia"/>
        </w:rPr>
        <w:t> </w:t>
      </w:r>
      <w:r w:rsidRPr="00B832E0">
        <w:t>1995 in relation to asbestos exposure. Following decisions in</w:t>
      </w:r>
      <w:r w:rsidR="00345C4E">
        <w:t> </w:t>
      </w:r>
      <w:r w:rsidRPr="00B832E0">
        <w:t>the</w:t>
      </w:r>
      <w:r w:rsidR="00345C4E">
        <w:t> </w:t>
      </w:r>
      <w:r w:rsidRPr="00B832E0">
        <w:t>NSW</w:t>
      </w:r>
      <w:r w:rsidRPr="00B832E0">
        <w:rPr>
          <w:rFonts w:hint="eastAsia"/>
        </w:rPr>
        <w:t> </w:t>
      </w:r>
      <w:r w:rsidRPr="00B832E0">
        <w:t>Supreme</w:t>
      </w:r>
      <w:r>
        <w:t> </w:t>
      </w:r>
      <w:r w:rsidRPr="00B832E0">
        <w:t>Court on 17</w:t>
      </w:r>
      <w:r w:rsidRPr="00B832E0">
        <w:rPr>
          <w:rFonts w:hint="eastAsia"/>
        </w:rPr>
        <w:t> </w:t>
      </w:r>
      <w:r w:rsidRPr="00B832E0">
        <w:t>December</w:t>
      </w:r>
      <w:r w:rsidRPr="00B832E0">
        <w:rPr>
          <w:rFonts w:hint="eastAsia"/>
        </w:rPr>
        <w:t> </w:t>
      </w:r>
      <w:r w:rsidRPr="00B832E0">
        <w:t>2004 and 4</w:t>
      </w:r>
      <w:r w:rsidRPr="00B832E0">
        <w:rPr>
          <w:rFonts w:hint="eastAsia"/>
        </w:rPr>
        <w:t> </w:t>
      </w:r>
      <w:r w:rsidRPr="00B832E0">
        <w:t>February</w:t>
      </w:r>
      <w:r w:rsidRPr="00B832E0">
        <w:rPr>
          <w:rFonts w:hint="eastAsia"/>
        </w:rPr>
        <w:t> </w:t>
      </w:r>
      <w:r w:rsidRPr="00B832E0">
        <w:t>2005, and the NSW</w:t>
      </w:r>
      <w:r w:rsidRPr="00B832E0">
        <w:rPr>
          <w:rFonts w:hint="eastAsia"/>
        </w:rPr>
        <w:t> </w:t>
      </w:r>
      <w:r w:rsidRPr="00B832E0">
        <w:t>Court</w:t>
      </w:r>
      <w:r w:rsidRPr="00B832E0">
        <w:rPr>
          <w:rFonts w:hint="eastAsia"/>
        </w:rPr>
        <w:t> </w:t>
      </w:r>
      <w:r w:rsidRPr="00B832E0">
        <w:t>of</w:t>
      </w:r>
      <w:r w:rsidRPr="00B832E0">
        <w:rPr>
          <w:rFonts w:hint="eastAsia"/>
        </w:rPr>
        <w:t> </w:t>
      </w:r>
      <w:r w:rsidRPr="00B832E0">
        <w:t>Appeal on 23</w:t>
      </w:r>
      <w:r w:rsidRPr="00B832E0">
        <w:rPr>
          <w:rFonts w:hint="eastAsia"/>
        </w:rPr>
        <w:t> </w:t>
      </w:r>
      <w:r w:rsidRPr="00B832E0">
        <w:t>November</w:t>
      </w:r>
      <w:r w:rsidRPr="00B832E0">
        <w:rPr>
          <w:rFonts w:hint="eastAsia"/>
        </w:rPr>
        <w:t> </w:t>
      </w:r>
      <w:r w:rsidRPr="00B832E0">
        <w:t>2006, Cockatoo Island Dockyard</w:t>
      </w:r>
      <w:r w:rsidRPr="00B832E0" w:rsidDel="003148BF">
        <w:t xml:space="preserve"> </w:t>
      </w:r>
      <w:r w:rsidRPr="00B832E0">
        <w:t>was awarded a</w:t>
      </w:r>
      <w:r w:rsidR="00345C4E">
        <w:t> </w:t>
      </w:r>
      <w:r w:rsidRPr="00B832E0">
        <w:t xml:space="preserve">complete indemnity from the </w:t>
      </w:r>
      <w:r>
        <w:t>Commonwealth</w:t>
      </w:r>
      <w:r w:rsidRPr="00B832E0">
        <w:t xml:space="preserve"> for its uninsured exposure to asbestos damages claims, plus profit of 7.5</w:t>
      </w:r>
      <w:r w:rsidR="00BD3D7E">
        <w:t> per cent</w:t>
      </w:r>
      <w:r w:rsidRPr="00B832E0">
        <w:t>. Defence continues to manage reimbursement of</w:t>
      </w:r>
      <w:r w:rsidR="00345C4E">
        <w:t> </w:t>
      </w:r>
      <w:r w:rsidRPr="00B832E0">
        <w:t>claims costs incurred by Cockatoo Island Dockyard.</w:t>
      </w:r>
    </w:p>
    <w:p w14:paraId="3F804631" w14:textId="77777777" w:rsidR="00AB7324" w:rsidRPr="00B832E0" w:rsidRDefault="00AB7324" w:rsidP="001078E4">
      <w:pPr>
        <w:pStyle w:val="Heading4"/>
      </w:pPr>
      <w:bookmarkStart w:id="62" w:name="_Toc71117787"/>
      <w:r w:rsidRPr="00B832E0">
        <w:t>Land decontamination, site restoration and decommissioning of Defence assets</w:t>
      </w:r>
      <w:bookmarkEnd w:id="62"/>
    </w:p>
    <w:p w14:paraId="37119560" w14:textId="7B5FA408" w:rsidR="00AF3913" w:rsidRDefault="00AB7324" w:rsidP="00121A6D">
      <w:r w:rsidRPr="00B832E0">
        <w:t>The Department of Defence has made a financial provision for the estimated costs involved in restoring, decontaminating and decommissioning Defence assets where a legal or constructive obligation has arisen. For cases where there is no legal or constructive obligation, the potential costs have not been assessed and are unquantifiable contingencies.</w:t>
      </w:r>
    </w:p>
    <w:p w14:paraId="2FA8D77D" w14:textId="3109BCB0" w:rsidR="00AB7324" w:rsidRPr="00B832E0" w:rsidRDefault="00AF3913" w:rsidP="00121A6D">
      <w:r>
        <w:br w:type="page"/>
      </w:r>
    </w:p>
    <w:p w14:paraId="389C59F8" w14:textId="77777777" w:rsidR="00AB7324" w:rsidRPr="00B832E0" w:rsidRDefault="00AB7324" w:rsidP="001078E4">
      <w:pPr>
        <w:pStyle w:val="Heading3"/>
      </w:pPr>
      <w:bookmarkStart w:id="63" w:name="_Toc99141860"/>
      <w:bookmarkStart w:id="64" w:name="_Toc166165501"/>
      <w:r w:rsidRPr="00B832E0">
        <w:lastRenderedPageBreak/>
        <w:t>Contingent liability – quantifiable</w:t>
      </w:r>
      <w:bookmarkEnd w:id="59"/>
      <w:bookmarkEnd w:id="63"/>
      <w:bookmarkEnd w:id="64"/>
    </w:p>
    <w:p w14:paraId="61344D9E" w14:textId="77777777" w:rsidR="00AB7324" w:rsidRPr="006460F9" w:rsidRDefault="00AB7324" w:rsidP="001078E4">
      <w:pPr>
        <w:pStyle w:val="Heading4"/>
      </w:pPr>
      <w:bookmarkStart w:id="65" w:name="_Toc71117789"/>
      <w:bookmarkStart w:id="66" w:name="_Hlk148351505"/>
      <w:r w:rsidRPr="006460F9">
        <w:t>Claims against the Department of Defence</w:t>
      </w:r>
      <w:bookmarkEnd w:id="65"/>
    </w:p>
    <w:bookmarkEnd w:id="66"/>
    <w:p w14:paraId="2E928E07" w14:textId="76575D76" w:rsidR="00AB7324" w:rsidRDefault="00AB7324" w:rsidP="00121A6D">
      <w:r w:rsidRPr="00821452">
        <w:t>The Department of Defence</w:t>
      </w:r>
      <w:r>
        <w:t xml:space="preserve"> </w:t>
      </w:r>
      <w:r w:rsidRPr="00821452">
        <w:t xml:space="preserve">has </w:t>
      </w:r>
      <w:r>
        <w:t>seven</w:t>
      </w:r>
      <w:r w:rsidRPr="00821452">
        <w:t> instances of non</w:t>
      </w:r>
      <w:r w:rsidR="00D737F9">
        <w:noBreakHyphen/>
      </w:r>
      <w:r w:rsidRPr="00821452">
        <w:t>remote, quantifiable contingent liabilities in respect of claims against Defence valued at $</w:t>
      </w:r>
      <w:r w:rsidRPr="008273E8">
        <w:t>7.9</w:t>
      </w:r>
      <w:r>
        <w:t> million</w:t>
      </w:r>
      <w:r w:rsidRPr="00821452">
        <w:t xml:space="preserve">. </w:t>
      </w:r>
    </w:p>
    <w:p w14:paraId="475F5E09" w14:textId="126A9859" w:rsidR="00AB7324" w:rsidRPr="00121A6D" w:rsidRDefault="00AB7324" w:rsidP="00121A6D">
      <w:r w:rsidRPr="00821452">
        <w:t>The</w:t>
      </w:r>
      <w:r w:rsidRPr="00821452">
        <w:rPr>
          <w:rFonts w:hint="eastAsia"/>
        </w:rPr>
        <w:t> </w:t>
      </w:r>
      <w:r w:rsidRPr="00821452">
        <w:t xml:space="preserve">estimated figure is determined by conducting an objective analysis of the probable amount payable for all matters managed by firms engaged by Defence </w:t>
      </w:r>
      <w:r>
        <w:t>using</w:t>
      </w:r>
      <w:r w:rsidRPr="00821452">
        <w:t xml:space="preserve"> the Attorney</w:t>
      </w:r>
      <w:r w:rsidR="00D737F9">
        <w:noBreakHyphen/>
      </w:r>
      <w:r w:rsidRPr="00821452">
        <w:t>General</w:t>
      </w:r>
      <w:r w:rsidR="00D737F9">
        <w:t>’</w:t>
      </w:r>
      <w:r w:rsidRPr="00821452">
        <w:t>s Whole of Australian Government Legal Services Panel and those being handled in</w:t>
      </w:r>
      <w:r w:rsidR="00D737F9">
        <w:noBreakHyphen/>
      </w:r>
      <w:r w:rsidRPr="00821452">
        <w:t xml:space="preserve">house by Defence Legal Division. However, the exact amount payable under those claims is uncertain. Defence is defending the claims or trying to resolve them through alternative dispute resolution </w:t>
      </w:r>
      <w:r w:rsidRPr="00121A6D">
        <w:t>measures.</w:t>
      </w:r>
    </w:p>
    <w:p w14:paraId="44914308" w14:textId="77777777" w:rsidR="001E759E" w:rsidRPr="00121A6D" w:rsidRDefault="001E759E" w:rsidP="00121A6D">
      <w:r w:rsidRPr="00121A6D">
        <w:br w:type="page"/>
      </w:r>
    </w:p>
    <w:p w14:paraId="521A3D43" w14:textId="20B11577" w:rsidR="009D70F5" w:rsidRPr="00B832E0" w:rsidRDefault="009D70F5" w:rsidP="001078E4">
      <w:pPr>
        <w:pStyle w:val="Heading2"/>
      </w:pPr>
      <w:bookmarkStart w:id="67" w:name="_Toc166165502"/>
      <w:r w:rsidRPr="00B832E0">
        <w:lastRenderedPageBreak/>
        <w:t>Employment and Workplace Relations</w:t>
      </w:r>
      <w:bookmarkEnd w:id="48"/>
      <w:bookmarkEnd w:id="67"/>
    </w:p>
    <w:p w14:paraId="0C7A7FA2" w14:textId="77777777" w:rsidR="00EC0DCE" w:rsidRPr="00B832E0" w:rsidRDefault="00EC0DCE" w:rsidP="001078E4">
      <w:pPr>
        <w:pStyle w:val="Heading3"/>
      </w:pPr>
      <w:bookmarkStart w:id="68" w:name="_Toc166165503"/>
      <w:bookmarkStart w:id="69" w:name="_Toc71117791"/>
      <w:bookmarkStart w:id="70" w:name="_Toc99141864"/>
      <w:r w:rsidRPr="00B832E0">
        <w:t>Fiscal Risk</w:t>
      </w:r>
      <w:bookmarkEnd w:id="68"/>
    </w:p>
    <w:p w14:paraId="527F1FF3" w14:textId="67EE7BBE" w:rsidR="00EC0DCE" w:rsidRPr="00B832E0" w:rsidRDefault="00EC0DCE" w:rsidP="001078E4">
      <w:pPr>
        <w:pStyle w:val="Heading4"/>
      </w:pPr>
      <w:r w:rsidRPr="00B832E0">
        <w:t>Recovery of inappropriately claimed VET FEE</w:t>
      </w:r>
      <w:r w:rsidR="00D737F9">
        <w:noBreakHyphen/>
      </w:r>
      <w:r w:rsidRPr="00B832E0">
        <w:t>HELP payments from VET providers</w:t>
      </w:r>
      <w:bookmarkEnd w:id="69"/>
    </w:p>
    <w:p w14:paraId="71F98CA9" w14:textId="49A8E508" w:rsidR="00EC0DCE" w:rsidRPr="00FC0FE6" w:rsidRDefault="00EC0DCE" w:rsidP="004A761C">
      <w:pPr>
        <w:rPr>
          <w:rFonts w:eastAsia="Arial"/>
          <w:lang w:val="en-US"/>
        </w:rPr>
      </w:pPr>
      <w:r w:rsidRPr="69E2749F">
        <w:rPr>
          <w:rFonts w:eastAsia="Arial"/>
          <w:lang w:val="en-US"/>
        </w:rPr>
        <w:t>The Australian Government is undertaking compliance action, including court action, to</w:t>
      </w:r>
      <w:r w:rsidR="004A761C">
        <w:rPr>
          <w:rFonts w:eastAsia="Arial"/>
          <w:lang w:val="en-US"/>
        </w:rPr>
        <w:t> </w:t>
      </w:r>
      <w:r w:rsidRPr="69E2749F">
        <w:rPr>
          <w:rFonts w:eastAsia="Arial"/>
          <w:lang w:val="en-US"/>
        </w:rPr>
        <w:t>recover VET</w:t>
      </w:r>
      <w:r>
        <w:rPr>
          <w:rFonts w:eastAsia="Arial"/>
          <w:lang w:val="en-US"/>
        </w:rPr>
        <w:t> </w:t>
      </w:r>
      <w:r w:rsidRPr="69E2749F">
        <w:rPr>
          <w:rFonts w:eastAsia="Arial"/>
          <w:lang w:val="en-US"/>
        </w:rPr>
        <w:t>FEE</w:t>
      </w:r>
      <w:r w:rsidR="00D737F9">
        <w:rPr>
          <w:rFonts w:eastAsia="Arial"/>
          <w:lang w:val="en-US"/>
        </w:rPr>
        <w:noBreakHyphen/>
      </w:r>
      <w:r w:rsidRPr="69E2749F">
        <w:rPr>
          <w:rFonts w:eastAsia="Arial"/>
          <w:lang w:val="en-US"/>
        </w:rPr>
        <w:t>HELP payments from VET providers where loans were issued inappropriately to students by providers. The Government has legislated a remedy, which</w:t>
      </w:r>
      <w:r w:rsidR="004A761C">
        <w:rPr>
          <w:rFonts w:eastAsia="Arial"/>
          <w:lang w:val="en-US"/>
        </w:rPr>
        <w:t> </w:t>
      </w:r>
      <w:r w:rsidRPr="69E2749F">
        <w:rPr>
          <w:rFonts w:eastAsia="Arial"/>
          <w:lang w:val="en-US"/>
        </w:rPr>
        <w:t>commenced 1 January 2019, for VET</w:t>
      </w:r>
      <w:r>
        <w:rPr>
          <w:rFonts w:eastAsia="Arial"/>
          <w:lang w:val="en-US"/>
        </w:rPr>
        <w:t> </w:t>
      </w:r>
      <w:r w:rsidRPr="69E2749F">
        <w:rPr>
          <w:rFonts w:eastAsia="Arial"/>
          <w:lang w:val="en-US"/>
        </w:rPr>
        <w:t>FEE–HELP students who incurred debts under the VET FEE</w:t>
      </w:r>
      <w:r w:rsidR="00D737F9">
        <w:rPr>
          <w:rFonts w:eastAsia="Arial"/>
          <w:lang w:val="en-US"/>
        </w:rPr>
        <w:noBreakHyphen/>
      </w:r>
      <w:r w:rsidRPr="69E2749F">
        <w:rPr>
          <w:rFonts w:eastAsia="Arial"/>
          <w:lang w:val="en-US"/>
        </w:rPr>
        <w:t>HELP loan scheme following inappropriate conduct by VET providers. The Government will undertake recovery activities against VET providers in cases where the student was ineligible for a VET FEE</w:t>
      </w:r>
      <w:r w:rsidR="00D737F9">
        <w:rPr>
          <w:rFonts w:eastAsia="Arial"/>
          <w:lang w:val="en-US"/>
        </w:rPr>
        <w:noBreakHyphen/>
      </w:r>
      <w:r w:rsidRPr="69E2749F">
        <w:rPr>
          <w:rFonts w:eastAsia="Arial"/>
          <w:lang w:val="en-US"/>
        </w:rPr>
        <w:t>HELP loan.</w:t>
      </w:r>
    </w:p>
    <w:p w14:paraId="0D961201" w14:textId="77777777" w:rsidR="00EC0DCE" w:rsidRPr="00FC0FE6" w:rsidRDefault="00EC0DCE" w:rsidP="004A761C">
      <w:pPr>
        <w:rPr>
          <w:rFonts w:eastAsia="Arial"/>
          <w:lang w:val="en-US"/>
        </w:rPr>
      </w:pPr>
      <w:r w:rsidRPr="69E2749F">
        <w:rPr>
          <w:rFonts w:eastAsia="Arial"/>
          <w:lang w:val="en-US"/>
        </w:rPr>
        <w:t xml:space="preserve">There are financial risks to the Commonwealth in the event that it </w:t>
      </w:r>
      <w:r>
        <w:rPr>
          <w:rFonts w:eastAsia="Arial"/>
          <w:lang w:val="en-US"/>
        </w:rPr>
        <w:t>cannot</w:t>
      </w:r>
      <w:r w:rsidRPr="69E2749F">
        <w:rPr>
          <w:rFonts w:eastAsia="Arial"/>
          <w:lang w:val="en-US"/>
        </w:rPr>
        <w:t xml:space="preserve"> recover payments from VET providers where they have closed or entered into administration or liquidation.</w:t>
      </w:r>
    </w:p>
    <w:p w14:paraId="513D6556" w14:textId="3568902A" w:rsidR="00EC0DCE" w:rsidRDefault="00EC0DCE" w:rsidP="004A761C">
      <w:pPr>
        <w:rPr>
          <w:rFonts w:eastAsia="Arial"/>
          <w:lang w:val="en-US"/>
        </w:rPr>
      </w:pPr>
      <w:r w:rsidRPr="69E2749F">
        <w:rPr>
          <w:rFonts w:eastAsia="Arial"/>
          <w:lang w:val="en-US"/>
        </w:rPr>
        <w:t>The financial risk to the Commonwealth is currently unquantifiable as it depends on the receipt and assessment of applications from students, as well as outcomes from the Government</w:t>
      </w:r>
      <w:r w:rsidR="00D737F9">
        <w:rPr>
          <w:rFonts w:eastAsia="Arial"/>
          <w:lang w:val="en-US"/>
        </w:rPr>
        <w:t>’</w:t>
      </w:r>
      <w:r w:rsidRPr="69E2749F">
        <w:rPr>
          <w:rFonts w:eastAsia="Arial"/>
          <w:lang w:val="en-US"/>
        </w:rPr>
        <w:t>s investigations into VET providers</w:t>
      </w:r>
      <w:r w:rsidR="00D737F9">
        <w:rPr>
          <w:rFonts w:eastAsia="Arial"/>
          <w:lang w:val="en-US"/>
        </w:rPr>
        <w:t>’</w:t>
      </w:r>
      <w:r w:rsidRPr="69E2749F">
        <w:rPr>
          <w:rFonts w:eastAsia="Arial"/>
          <w:lang w:val="en-US"/>
        </w:rPr>
        <w:t xml:space="preserve"> conduct</w:t>
      </w:r>
      <w:r>
        <w:rPr>
          <w:rFonts w:eastAsia="Arial"/>
          <w:lang w:val="en-US"/>
        </w:rPr>
        <w:t>.</w:t>
      </w:r>
    </w:p>
    <w:p w14:paraId="3B657E31" w14:textId="092B0270" w:rsidR="00EC0DCE" w:rsidRPr="00B832E0" w:rsidRDefault="00EC0DCE" w:rsidP="001078E4">
      <w:pPr>
        <w:pStyle w:val="Heading3"/>
      </w:pPr>
      <w:bookmarkStart w:id="71" w:name="_Toc166165504"/>
      <w:r w:rsidRPr="00B832E0">
        <w:t>Contingent liabilit</w:t>
      </w:r>
      <w:r>
        <w:t>ies</w:t>
      </w:r>
      <w:r w:rsidR="0033682E">
        <w:t xml:space="preserve"> </w:t>
      </w:r>
      <w:r w:rsidRPr="00B832E0">
        <w:t>– quantifiable</w:t>
      </w:r>
      <w:bookmarkEnd w:id="71"/>
    </w:p>
    <w:p w14:paraId="3FA6F17F" w14:textId="77777777" w:rsidR="00EC0DCE" w:rsidRPr="004C4FB6" w:rsidRDefault="00EC0DCE" w:rsidP="001078E4">
      <w:pPr>
        <w:pStyle w:val="Heading4"/>
        <w:rPr>
          <w:rFonts w:eastAsia="Arial"/>
          <w:lang w:val="en-US"/>
        </w:rPr>
      </w:pPr>
      <w:bookmarkStart w:id="72" w:name="_Toc71117793"/>
      <w:r w:rsidRPr="004C4FB6">
        <w:rPr>
          <w:rFonts w:eastAsia="Arial"/>
          <w:lang w:val="en-US"/>
        </w:rPr>
        <w:t>ParentsNext program</w:t>
      </w:r>
      <w:bookmarkEnd w:id="72"/>
    </w:p>
    <w:p w14:paraId="028B6ADC" w14:textId="6905DF8B" w:rsidR="00EC0DCE" w:rsidRPr="009964E3" w:rsidRDefault="00EC0DCE" w:rsidP="005E5A5D">
      <w:pPr>
        <w:rPr>
          <w:rFonts w:eastAsia="Arial"/>
          <w:lang w:val="en-US"/>
        </w:rPr>
      </w:pPr>
      <w:r w:rsidRPr="69E2749F">
        <w:rPr>
          <w:rFonts w:eastAsia="Arial"/>
          <w:lang w:val="en-US"/>
        </w:rPr>
        <w:t>ParentsNext supports parents to identify their education and employment related goals to</w:t>
      </w:r>
      <w:r w:rsidR="004A761C">
        <w:rPr>
          <w:rFonts w:eastAsia="Arial"/>
          <w:lang w:val="en-US"/>
        </w:rPr>
        <w:t> </w:t>
      </w:r>
      <w:r w:rsidRPr="69E2749F">
        <w:rPr>
          <w:rFonts w:eastAsia="Arial"/>
          <w:lang w:val="en-US"/>
        </w:rPr>
        <w:t>build their work readiness, and plan and prepare for employment by the time their youngest child starts school. The Government has announced</w:t>
      </w:r>
      <w:r>
        <w:rPr>
          <w:rFonts w:eastAsia="Arial"/>
          <w:lang w:val="en-US"/>
        </w:rPr>
        <w:t xml:space="preserve"> it will replace</w:t>
      </w:r>
      <w:r w:rsidRPr="69E2749F">
        <w:rPr>
          <w:rFonts w:eastAsia="Arial"/>
          <w:lang w:val="en-US"/>
        </w:rPr>
        <w:t xml:space="preserve"> ParentsNext</w:t>
      </w:r>
      <w:r>
        <w:rPr>
          <w:rFonts w:eastAsia="Arial"/>
          <w:lang w:val="en-US"/>
        </w:rPr>
        <w:t xml:space="preserve"> with </w:t>
      </w:r>
      <w:r w:rsidRPr="00C263F2">
        <w:rPr>
          <w:rFonts w:eastAsia="Arial"/>
          <w:lang w:val="en-US"/>
        </w:rPr>
        <w:t>a</w:t>
      </w:r>
      <w:r>
        <w:rPr>
          <w:rFonts w:eastAsia="Arial"/>
          <w:lang w:val="en-US"/>
        </w:rPr>
        <w:t xml:space="preserve"> </w:t>
      </w:r>
      <w:r w:rsidRPr="00C263F2">
        <w:rPr>
          <w:rFonts w:eastAsia="Arial"/>
          <w:lang w:val="en-US"/>
        </w:rPr>
        <w:t>new</w:t>
      </w:r>
      <w:r>
        <w:rPr>
          <w:rFonts w:eastAsia="Arial"/>
          <w:lang w:val="en-US"/>
        </w:rPr>
        <w:t xml:space="preserve"> voluntary pre</w:t>
      </w:r>
      <w:r w:rsidR="00D737F9">
        <w:rPr>
          <w:rFonts w:eastAsia="Arial"/>
          <w:lang w:val="en-US"/>
        </w:rPr>
        <w:noBreakHyphen/>
      </w:r>
      <w:r>
        <w:rPr>
          <w:rFonts w:eastAsia="Arial"/>
          <w:lang w:val="en-US"/>
        </w:rPr>
        <w:t>employment service for parents from 1</w:t>
      </w:r>
      <w:r w:rsidR="00D9795C">
        <w:rPr>
          <w:rFonts w:eastAsia="Arial"/>
          <w:lang w:val="en-US"/>
        </w:rPr>
        <w:t> November </w:t>
      </w:r>
      <w:r>
        <w:rPr>
          <w:rFonts w:eastAsia="Arial"/>
          <w:lang w:val="en-US"/>
        </w:rPr>
        <w:t>2024. The current ParentsNext program</w:t>
      </w:r>
      <w:r w:rsidR="001F484B">
        <w:rPr>
          <w:rFonts w:eastAsia="Arial"/>
          <w:lang w:val="en-US"/>
        </w:rPr>
        <w:t xml:space="preserve"> has </w:t>
      </w:r>
      <w:r>
        <w:rPr>
          <w:rFonts w:eastAsia="Arial"/>
          <w:lang w:val="en-US"/>
        </w:rPr>
        <w:t>be</w:t>
      </w:r>
      <w:r w:rsidR="001F484B">
        <w:rPr>
          <w:rFonts w:eastAsia="Arial"/>
          <w:lang w:val="en-US"/>
        </w:rPr>
        <w:t>en</w:t>
      </w:r>
      <w:r>
        <w:rPr>
          <w:rFonts w:eastAsia="Arial"/>
          <w:lang w:val="en-US"/>
        </w:rPr>
        <w:t xml:space="preserve"> extended until 31</w:t>
      </w:r>
      <w:r w:rsidR="00D9795C">
        <w:rPr>
          <w:rFonts w:eastAsia="Arial"/>
          <w:lang w:val="en-US"/>
        </w:rPr>
        <w:t> October </w:t>
      </w:r>
      <w:r>
        <w:rPr>
          <w:rFonts w:eastAsia="Arial"/>
          <w:lang w:val="en-US"/>
        </w:rPr>
        <w:t>2024, and will continue to</w:t>
      </w:r>
      <w:r w:rsidR="004A761C">
        <w:rPr>
          <w:rFonts w:eastAsia="Arial"/>
          <w:lang w:val="en-US"/>
        </w:rPr>
        <w:t> </w:t>
      </w:r>
      <w:r>
        <w:rPr>
          <w:rFonts w:eastAsia="Arial"/>
          <w:lang w:val="en-US"/>
        </w:rPr>
        <w:t xml:space="preserve">be voluntary during </w:t>
      </w:r>
      <w:r w:rsidR="001F484B">
        <w:rPr>
          <w:rFonts w:eastAsia="Arial"/>
          <w:lang w:val="en-US"/>
        </w:rPr>
        <w:t>this</w:t>
      </w:r>
      <w:r w:rsidR="00815C35">
        <w:rPr>
          <w:rFonts w:eastAsia="Arial"/>
          <w:lang w:val="en-US"/>
        </w:rPr>
        <w:t xml:space="preserve"> extension</w:t>
      </w:r>
      <w:r>
        <w:rPr>
          <w:rFonts w:eastAsia="Arial"/>
          <w:lang w:val="en-US"/>
        </w:rPr>
        <w:t xml:space="preserve"> period.</w:t>
      </w:r>
    </w:p>
    <w:p w14:paraId="398F259B" w14:textId="5A4AED7C" w:rsidR="00EC0DCE" w:rsidRPr="009964E3" w:rsidRDefault="00EC0DCE" w:rsidP="005E5A5D">
      <w:pPr>
        <w:rPr>
          <w:rFonts w:eastAsia="Arial"/>
          <w:lang w:val="en-US"/>
        </w:rPr>
      </w:pPr>
      <w:r w:rsidRPr="69E2749F">
        <w:rPr>
          <w:rFonts w:eastAsia="Arial"/>
          <w:lang w:val="en-US"/>
        </w:rPr>
        <w:t>Under the current program, providers accumulate one</w:t>
      </w:r>
      <w:r w:rsidR="00D737F9">
        <w:rPr>
          <w:rFonts w:eastAsia="Arial"/>
          <w:lang w:val="en-US"/>
        </w:rPr>
        <w:noBreakHyphen/>
      </w:r>
      <w:r w:rsidRPr="69E2749F">
        <w:rPr>
          <w:rFonts w:eastAsia="Arial"/>
          <w:lang w:val="en-US"/>
        </w:rPr>
        <w:t>off credits which accrue to their provider</w:t>
      </w:r>
      <w:r w:rsidR="00D737F9">
        <w:rPr>
          <w:rFonts w:eastAsia="Arial"/>
          <w:lang w:val="en-US"/>
        </w:rPr>
        <w:t>’</w:t>
      </w:r>
      <w:r w:rsidRPr="69E2749F">
        <w:rPr>
          <w:rFonts w:eastAsia="Arial"/>
          <w:lang w:val="en-US"/>
        </w:rPr>
        <w:t>s Participation Fund on commencement of a participant.</w:t>
      </w:r>
    </w:p>
    <w:p w14:paraId="43A2812E" w14:textId="73F0ABBE" w:rsidR="00EC0DCE" w:rsidRPr="009964E3" w:rsidRDefault="00EC0DCE" w:rsidP="005E5A5D">
      <w:pPr>
        <w:rPr>
          <w:rFonts w:eastAsia="Arial"/>
          <w:lang w:val="en-US"/>
        </w:rPr>
      </w:pPr>
      <w:r w:rsidRPr="69E2749F">
        <w:rPr>
          <w:rFonts w:eastAsia="Arial"/>
          <w:lang w:val="en-US"/>
        </w:rPr>
        <w:t xml:space="preserve">Currently, providers are forecast to spend less than the value of the available credits, creating an accumulating surplus of credits that present a contingent liability. As at </w:t>
      </w:r>
      <w:r>
        <w:rPr>
          <w:rFonts w:eastAsia="Arial"/>
          <w:lang w:val="en-US"/>
        </w:rPr>
        <w:t>29</w:t>
      </w:r>
      <w:r w:rsidR="00D9795C">
        <w:rPr>
          <w:rFonts w:eastAsia="Arial"/>
          <w:lang w:val="en-US"/>
        </w:rPr>
        <w:t> February </w:t>
      </w:r>
      <w:r>
        <w:rPr>
          <w:rFonts w:eastAsia="Arial"/>
          <w:lang w:val="en-US"/>
        </w:rPr>
        <w:t>2024</w:t>
      </w:r>
      <w:r w:rsidRPr="69E2749F">
        <w:rPr>
          <w:rFonts w:eastAsia="Arial"/>
          <w:lang w:val="en-US"/>
        </w:rPr>
        <w:t>, there was $</w:t>
      </w:r>
      <w:r>
        <w:rPr>
          <w:rFonts w:eastAsia="Arial"/>
          <w:lang w:val="en-US"/>
        </w:rPr>
        <w:t>91.1</w:t>
      </w:r>
      <w:r w:rsidR="0023629A">
        <w:rPr>
          <w:rFonts w:eastAsia="Arial"/>
          <w:lang w:val="en-US"/>
        </w:rPr>
        <w:t> </w:t>
      </w:r>
      <w:r w:rsidRPr="69E2749F">
        <w:rPr>
          <w:rFonts w:eastAsia="Arial"/>
          <w:lang w:val="en-US"/>
        </w:rPr>
        <w:t>million in unspent Participation Fund credits in the Participation Fund notional bank.</w:t>
      </w:r>
    </w:p>
    <w:p w14:paraId="5F6925AA" w14:textId="415CEADB" w:rsidR="009D70F5" w:rsidRDefault="009D70F5" w:rsidP="001078E4">
      <w:pPr>
        <w:spacing w:before="0" w:after="160" w:line="259" w:lineRule="auto"/>
      </w:pPr>
      <w:r>
        <w:br w:type="page"/>
      </w:r>
    </w:p>
    <w:p w14:paraId="749C306D" w14:textId="17330500" w:rsidR="007504D8" w:rsidRPr="00002090" w:rsidRDefault="007504D8" w:rsidP="001078E4">
      <w:pPr>
        <w:pStyle w:val="Heading4"/>
        <w:rPr>
          <w:rFonts w:eastAsia="Arial"/>
          <w:lang w:val="en-US"/>
        </w:rPr>
      </w:pPr>
      <w:r w:rsidRPr="00002090">
        <w:rPr>
          <w:rFonts w:eastAsia="Arial"/>
          <w:lang w:val="en-US"/>
        </w:rPr>
        <w:lastRenderedPageBreak/>
        <w:t xml:space="preserve">Workforce Australia </w:t>
      </w:r>
      <w:r>
        <w:rPr>
          <w:rFonts w:eastAsia="Calibri"/>
        </w:rPr>
        <w:t>–</w:t>
      </w:r>
      <w:r w:rsidRPr="00002090">
        <w:rPr>
          <w:rFonts w:eastAsia="Arial"/>
          <w:lang w:val="en-US"/>
        </w:rPr>
        <w:t xml:space="preserve"> Employment Fund</w:t>
      </w:r>
    </w:p>
    <w:p w14:paraId="26FAC62D" w14:textId="34FAD3C8" w:rsidR="007504D8" w:rsidRPr="002E4C79" w:rsidRDefault="007504D8" w:rsidP="005E5A5D">
      <w:pPr>
        <w:rPr>
          <w:rFonts w:eastAsia="Arial"/>
          <w:lang w:val="en-US"/>
        </w:rPr>
      </w:pPr>
      <w:r w:rsidRPr="69E2749F">
        <w:rPr>
          <w:rFonts w:eastAsia="Arial"/>
          <w:lang w:val="en-US"/>
        </w:rPr>
        <w:t>Since</w:t>
      </w:r>
      <w:r w:rsidR="00D9795C">
        <w:rPr>
          <w:rFonts w:eastAsia="Arial"/>
          <w:lang w:val="en-US"/>
        </w:rPr>
        <w:t> July </w:t>
      </w:r>
      <w:r w:rsidRPr="69E2749F">
        <w:rPr>
          <w:rFonts w:eastAsia="Arial"/>
          <w:lang w:val="en-US"/>
        </w:rPr>
        <w:t xml:space="preserve">2022, with the introduction of Workforce Australia, </w:t>
      </w:r>
      <w:r>
        <w:rPr>
          <w:rFonts w:eastAsia="Arial"/>
          <w:lang w:val="en-US"/>
        </w:rPr>
        <w:t xml:space="preserve">contracted service providers and the Digital Services Contact Centre </w:t>
      </w:r>
      <w:r w:rsidRPr="69E2749F">
        <w:rPr>
          <w:rFonts w:eastAsia="Arial"/>
          <w:lang w:val="en-US"/>
        </w:rPr>
        <w:t xml:space="preserve">have had access to the Employment Fund, which can be used to purchase goods and services to help participants to get and keep a job. </w:t>
      </w:r>
    </w:p>
    <w:p w14:paraId="7D917A7F" w14:textId="77777777" w:rsidR="007504D8" w:rsidRPr="004017EF" w:rsidRDefault="007504D8" w:rsidP="001078E4">
      <w:pPr>
        <w:pStyle w:val="Bullet"/>
        <w:ind w:left="283" w:hanging="283"/>
      </w:pPr>
      <w:r w:rsidRPr="004017EF">
        <w:t xml:space="preserve">Providers accumulate a $1,600 Employment Fund credit upon commencement of each participant in Workforce Australia Provider Services. </w:t>
      </w:r>
    </w:p>
    <w:p w14:paraId="51154549" w14:textId="77777777" w:rsidR="007504D8" w:rsidRPr="00BD728C" w:rsidRDefault="007504D8" w:rsidP="001078E4">
      <w:pPr>
        <w:pStyle w:val="Bullet"/>
        <w:ind w:left="283" w:hanging="283"/>
      </w:pPr>
      <w:r w:rsidRPr="00BD728C">
        <w:t>Participants in Workforce Australia Online attract a $300</w:t>
      </w:r>
      <w:r w:rsidRPr="004017EF">
        <w:t xml:space="preserve"> </w:t>
      </w:r>
      <w:r w:rsidRPr="00BD728C">
        <w:t xml:space="preserve">Employment Fund credit, credited after a participant has been in Digital Services for two months. </w:t>
      </w:r>
    </w:p>
    <w:p w14:paraId="380FD1C5" w14:textId="6AD64BE3" w:rsidR="007504D8" w:rsidRPr="004A761C" w:rsidRDefault="007504D8" w:rsidP="004A761C">
      <w:pPr>
        <w:rPr>
          <w:rFonts w:eastAsia="Arial"/>
        </w:rPr>
      </w:pPr>
      <w:r w:rsidRPr="69E2749F">
        <w:rPr>
          <w:rFonts w:eastAsia="Arial"/>
          <w:lang w:val="en-US"/>
        </w:rPr>
        <w:t xml:space="preserve">Currently, Employment Fund expenditure is expected to be less than the value of the available credits, creating an accumulating surplus of credits that present a contingent liability. As at </w:t>
      </w:r>
      <w:r>
        <w:rPr>
          <w:rFonts w:eastAsia="Arial"/>
          <w:lang w:val="en-US"/>
        </w:rPr>
        <w:t>29</w:t>
      </w:r>
      <w:r w:rsidR="00D9795C">
        <w:rPr>
          <w:rFonts w:eastAsia="Arial"/>
          <w:lang w:val="en-US"/>
        </w:rPr>
        <w:t> </w:t>
      </w:r>
      <w:r w:rsidR="00D9795C" w:rsidRPr="004A761C">
        <w:rPr>
          <w:rFonts w:eastAsia="Arial"/>
        </w:rPr>
        <w:t>February </w:t>
      </w:r>
      <w:r w:rsidRPr="004A761C">
        <w:rPr>
          <w:rFonts w:eastAsia="Arial"/>
        </w:rPr>
        <w:t>2024, there was $549.7</w:t>
      </w:r>
      <w:r w:rsidR="0023629A" w:rsidRPr="004A761C">
        <w:rPr>
          <w:rFonts w:eastAsia="Arial"/>
        </w:rPr>
        <w:t> </w:t>
      </w:r>
      <w:r w:rsidRPr="004A761C">
        <w:rPr>
          <w:rFonts w:eastAsia="Arial"/>
        </w:rPr>
        <w:t>million in unspent Employment Fund Credits in the Workforce Australia Employment Fund notional bank.</w:t>
      </w:r>
    </w:p>
    <w:p w14:paraId="1111CB3E" w14:textId="77777777" w:rsidR="004405AB" w:rsidRPr="004A761C" w:rsidRDefault="004405AB" w:rsidP="004A761C">
      <w:r w:rsidRPr="004A761C">
        <w:br w:type="page"/>
      </w:r>
    </w:p>
    <w:p w14:paraId="5FD6DCDF" w14:textId="77777777" w:rsidR="009D70F5" w:rsidRPr="00193299" w:rsidRDefault="009D70F5" w:rsidP="001078E4">
      <w:pPr>
        <w:pStyle w:val="Heading2"/>
      </w:pPr>
      <w:bookmarkStart w:id="73" w:name="_Toc166165505"/>
      <w:r w:rsidRPr="00193299">
        <w:lastRenderedPageBreak/>
        <w:t>Finance</w:t>
      </w:r>
      <w:bookmarkEnd w:id="70"/>
      <w:bookmarkEnd w:id="73"/>
    </w:p>
    <w:p w14:paraId="64B857C8" w14:textId="77777777" w:rsidR="00E614C0" w:rsidRPr="00B832E0" w:rsidRDefault="00E614C0" w:rsidP="001078E4">
      <w:pPr>
        <w:pStyle w:val="Heading3"/>
      </w:pPr>
      <w:bookmarkStart w:id="74" w:name="_Toc71117794"/>
      <w:bookmarkStart w:id="75" w:name="_Toc99141866"/>
      <w:bookmarkStart w:id="76" w:name="_Toc166165506"/>
      <w:bookmarkStart w:id="77" w:name="_Toc99141868"/>
      <w:bookmarkStart w:id="78" w:name="_Toc71117832"/>
      <w:bookmarkEnd w:id="12"/>
      <w:r w:rsidRPr="00B832E0">
        <w:t>Significant but remote contingency</w:t>
      </w:r>
      <w:bookmarkEnd w:id="74"/>
      <w:bookmarkEnd w:id="75"/>
      <w:bookmarkEnd w:id="76"/>
    </w:p>
    <w:p w14:paraId="0F0C70F2" w14:textId="77777777" w:rsidR="00E614C0" w:rsidRPr="00B832E0" w:rsidRDefault="00E614C0" w:rsidP="001078E4">
      <w:pPr>
        <w:pStyle w:val="Heading4"/>
      </w:pPr>
      <w:bookmarkStart w:id="79" w:name="_Toc71117795"/>
      <w:r w:rsidRPr="00B832E0">
        <w:t>Australian Naval Infrastructure Pty Ltd – Termination of the Equity Funding Agreement</w:t>
      </w:r>
      <w:bookmarkEnd w:id="79"/>
    </w:p>
    <w:p w14:paraId="6B55ACDB" w14:textId="121F8F17" w:rsidR="00E614C0" w:rsidRPr="00881F31" w:rsidRDefault="00E614C0" w:rsidP="005E5A5D">
      <w:pPr>
        <w:rPr>
          <w:rFonts w:ascii="Arial" w:eastAsia="Arial" w:hAnsi="Arial" w:cs="Arial"/>
          <w:b/>
          <w:bCs/>
          <w:lang w:val="en-US"/>
        </w:rPr>
      </w:pPr>
      <w:bookmarkStart w:id="80" w:name="_Toc71117796"/>
      <w:bookmarkStart w:id="81" w:name="_Toc99141867"/>
      <w:r>
        <w:t>The Australian Government will provide sufficient funding to enable Australian Naval Infrastructure Pty Ltd (ANI) to meet the direct costs that may be incurred by ANI in the event that the Commonwealth terminates the Equity Funding Agreement entered into in</w:t>
      </w:r>
      <w:r w:rsidR="00D9795C">
        <w:t> October </w:t>
      </w:r>
      <w:r>
        <w:t>2017 between the Commonwealth and ANI.</w:t>
      </w:r>
    </w:p>
    <w:p w14:paraId="50D54F8F" w14:textId="77777777" w:rsidR="00E614C0" w:rsidRPr="00B832E0" w:rsidRDefault="00E614C0" w:rsidP="001078E4">
      <w:pPr>
        <w:pStyle w:val="Heading3"/>
      </w:pPr>
      <w:bookmarkStart w:id="82" w:name="_Toc166165507"/>
      <w:r w:rsidRPr="00B832E0">
        <w:t>Contingent liabilities – unquantifiable</w:t>
      </w:r>
      <w:bookmarkEnd w:id="80"/>
      <w:bookmarkEnd w:id="81"/>
      <w:bookmarkEnd w:id="82"/>
    </w:p>
    <w:p w14:paraId="225A007C" w14:textId="5EB6590F" w:rsidR="00E614C0" w:rsidRPr="00B832E0" w:rsidRDefault="00E614C0" w:rsidP="001078E4">
      <w:pPr>
        <w:pStyle w:val="Heading4"/>
      </w:pPr>
      <w:bookmarkStart w:id="83" w:name="_Toc71117797"/>
      <w:r w:rsidRPr="00B832E0">
        <w:t>ASC Pty Ltd – Directors</w:t>
      </w:r>
      <w:r w:rsidR="00D737F9">
        <w:t>’</w:t>
      </w:r>
      <w:r w:rsidRPr="00B832E0">
        <w:t xml:space="preserve"> and Executives</w:t>
      </w:r>
      <w:r w:rsidR="00D737F9">
        <w:t>’</w:t>
      </w:r>
      <w:r w:rsidRPr="00B832E0">
        <w:t xml:space="preserve"> indemnities</w:t>
      </w:r>
      <w:bookmarkEnd w:id="83"/>
    </w:p>
    <w:p w14:paraId="71D15F39" w14:textId="77777777" w:rsidR="00E614C0" w:rsidRDefault="00E614C0" w:rsidP="005E5A5D">
      <w:r>
        <w:t xml:space="preserve">In 2002, the Australian Government provided former directors of the then Australian Submarine Corporation Pty Ltd (now known as ASC Pty Ltd (ASC)) with indemnities for: </w:t>
      </w:r>
    </w:p>
    <w:p w14:paraId="083F072B" w14:textId="15BFA9CB" w:rsidR="00E614C0" w:rsidRDefault="00E614C0" w:rsidP="001078E4">
      <w:pPr>
        <w:pStyle w:val="Bullet"/>
        <w:ind w:left="283" w:hanging="283"/>
      </w:pPr>
      <w:r>
        <w:t>any claim against them as a result of complying with ASC</w:t>
      </w:r>
      <w:r w:rsidR="00D737F9">
        <w:t>’</w:t>
      </w:r>
      <w:r>
        <w:t xml:space="preserve">s obligations under the Process Agreement between the Electric Boat Corporation (EBC), the </w:t>
      </w:r>
      <w:r w:rsidR="001F3211">
        <w:t>Australian</w:t>
      </w:r>
      <w:r w:rsidR="00542981">
        <w:t xml:space="preserve"> </w:t>
      </w:r>
      <w:r w:rsidR="001F3211">
        <w:t>Government</w:t>
      </w:r>
      <w:r>
        <w:t xml:space="preserve"> and ASC </w:t>
      </w:r>
    </w:p>
    <w:p w14:paraId="7502C107" w14:textId="0B8605C7" w:rsidR="00E614C0" w:rsidRDefault="00E614C0" w:rsidP="001078E4">
      <w:pPr>
        <w:pStyle w:val="Bullet"/>
        <w:ind w:left="283" w:hanging="283"/>
      </w:pPr>
      <w:r>
        <w:t>any claim against them as a result of complying with ASC</w:t>
      </w:r>
      <w:r w:rsidR="00D737F9">
        <w:t>’</w:t>
      </w:r>
      <w:r>
        <w:t xml:space="preserve">s obligations under the Service Level Agreement between ASC, the Department of Defence, EBC and Electric Boat Australia </w:t>
      </w:r>
    </w:p>
    <w:p w14:paraId="05B42388" w14:textId="034E0958" w:rsidR="00E614C0" w:rsidRDefault="00E614C0" w:rsidP="001078E4">
      <w:pPr>
        <w:pStyle w:val="Bullet"/>
        <w:ind w:left="283" w:hanging="283"/>
      </w:pPr>
      <w:r>
        <w:t>any claims and legal costs arising from the directors acting in accordance with the Board</w:t>
      </w:r>
      <w:r w:rsidR="00D737F9">
        <w:t>’</w:t>
      </w:r>
      <w:r>
        <w:t>s tasks and responsibilities, as defined under the indemnity.</w:t>
      </w:r>
    </w:p>
    <w:p w14:paraId="6AC3C0CA" w14:textId="77777777" w:rsidR="00E614C0" w:rsidRPr="00B832E0" w:rsidRDefault="00E614C0" w:rsidP="001078E4">
      <w:pPr>
        <w:widowControl w:val="0"/>
        <w:autoSpaceDE w:val="0"/>
        <w:autoSpaceDN w:val="0"/>
        <w:spacing w:line="252" w:lineRule="auto"/>
        <w:ind w:right="422"/>
      </w:pPr>
      <w:r>
        <w:t>In 2018, t</w:t>
      </w:r>
      <w:r w:rsidRPr="00B832E0">
        <w:t>he Australian Government provided</w:t>
      </w:r>
      <w:r>
        <w:t xml:space="preserve"> d</w:t>
      </w:r>
      <w:r w:rsidRPr="00B832E0">
        <w:t>irectors and senior executives of ASC with indemnities</w:t>
      </w:r>
      <w:r>
        <w:t xml:space="preserve"> </w:t>
      </w:r>
      <w:r w:rsidRPr="00B832E0">
        <w:t>to</w:t>
      </w:r>
      <w:r>
        <w:t xml:space="preserve"> </w:t>
      </w:r>
      <w:r w:rsidRPr="00B832E0">
        <w:t>mitigate</w:t>
      </w:r>
      <w:r>
        <w:t xml:space="preserve"> </w:t>
      </w:r>
      <w:r w:rsidRPr="00B832E0">
        <w:t>personal</w:t>
      </w:r>
      <w:r>
        <w:t xml:space="preserve"> </w:t>
      </w:r>
      <w:r w:rsidRPr="00B832E0">
        <w:t>risk</w:t>
      </w:r>
      <w:r>
        <w:t xml:space="preserve"> </w:t>
      </w:r>
      <w:r w:rsidRPr="00B832E0">
        <w:t>and</w:t>
      </w:r>
      <w:r>
        <w:t xml:space="preserve"> </w:t>
      </w:r>
      <w:r w:rsidRPr="00B832E0">
        <w:t>provide</w:t>
      </w:r>
      <w:r>
        <w:t xml:space="preserve"> </w:t>
      </w:r>
      <w:r w:rsidRPr="00B832E0">
        <w:t>coverage</w:t>
      </w:r>
      <w:r>
        <w:t xml:space="preserve"> </w:t>
      </w:r>
      <w:r w:rsidRPr="00B832E0">
        <w:t>for</w:t>
      </w:r>
      <w:r>
        <w:t xml:space="preserve"> </w:t>
      </w:r>
      <w:r w:rsidRPr="00B832E0">
        <w:t>legal</w:t>
      </w:r>
      <w:r>
        <w:t xml:space="preserve"> </w:t>
      </w:r>
      <w:r w:rsidRPr="00B832E0">
        <w:t>costs</w:t>
      </w:r>
      <w:r>
        <w:t xml:space="preserve"> </w:t>
      </w:r>
      <w:r w:rsidRPr="00B832E0">
        <w:t>related</w:t>
      </w:r>
      <w:r>
        <w:t xml:space="preserve"> </w:t>
      </w:r>
      <w:r w:rsidRPr="00B832E0">
        <w:t>to</w:t>
      </w:r>
      <w:r>
        <w:t xml:space="preserve"> </w:t>
      </w:r>
      <w:r w:rsidRPr="00B832E0">
        <w:t>any legal proceedings that may arise in relation to the transaction to separate ASC</w:t>
      </w:r>
      <w:r>
        <w:t> </w:t>
      </w:r>
      <w:r w:rsidRPr="00B832E0">
        <w:t>Shipbuilding Pty Limited from</w:t>
      </w:r>
      <w:r>
        <w:t xml:space="preserve"> </w:t>
      </w:r>
      <w:r w:rsidRPr="00B832E0">
        <w:t>ASC.</w:t>
      </w:r>
    </w:p>
    <w:p w14:paraId="72C801E9" w14:textId="77777777" w:rsidR="00E614C0" w:rsidRPr="00B832E0" w:rsidRDefault="00E614C0" w:rsidP="001078E4">
      <w:pPr>
        <w:pStyle w:val="Heading4"/>
      </w:pPr>
      <w:bookmarkStart w:id="84" w:name="_Toc71117798"/>
      <w:r w:rsidRPr="00B832E0">
        <w:t>ASC Pty Ltd – Guarantee of Indemnity from ASC in favour of ASC Shipbuilding Pty Limited</w:t>
      </w:r>
      <w:bookmarkEnd w:id="84"/>
    </w:p>
    <w:p w14:paraId="7DFE437F" w14:textId="77777777" w:rsidR="00E614C0" w:rsidRPr="00DE1414" w:rsidRDefault="00E614C0" w:rsidP="00542981">
      <w:r>
        <w:t>The Australian Government has provided a guarantee of an indemnity from ASC Pty Ltd (ASC) in favour of ASC Shipbuilding Pty Limited (ASC Shipbuilding).</w:t>
      </w:r>
    </w:p>
    <w:p w14:paraId="1E706915" w14:textId="726C7611" w:rsidR="00E614C0" w:rsidRPr="00DE1414" w:rsidRDefault="00E614C0" w:rsidP="00542981">
      <w:r w:rsidRPr="3002998B">
        <w:t>ASC provided an indemnity in favour of ASC Shipbuilding prior to ASC Shipbuilding being separated from ASC Pty Ltd</w:t>
      </w:r>
      <w:r>
        <w:t>, which occurred in</w:t>
      </w:r>
      <w:r w:rsidR="00D9795C">
        <w:t> December </w:t>
      </w:r>
      <w:r>
        <w:t>2018.</w:t>
      </w:r>
      <w:r w:rsidRPr="3002998B">
        <w:t xml:space="preserve"> This indemnity is intended to cover any liabilities unknown at the time of separation which may arise after separation. The indemnity is time limited to </w:t>
      </w:r>
      <w:r>
        <w:t>seven</w:t>
      </w:r>
      <w:r w:rsidRPr="3002998B">
        <w:t xml:space="preserve"> years.</w:t>
      </w:r>
    </w:p>
    <w:p w14:paraId="597C0D8A" w14:textId="77777777" w:rsidR="00E614C0" w:rsidRPr="00DE1414" w:rsidRDefault="00E614C0" w:rsidP="001A716D">
      <w:pPr>
        <w:keepNext/>
        <w:keepLines/>
        <w:widowControl w:val="0"/>
        <w:autoSpaceDE w:val="0"/>
        <w:autoSpaceDN w:val="0"/>
        <w:spacing w:line="252" w:lineRule="auto"/>
        <w:ind w:right="420"/>
        <w:rPr>
          <w:rFonts w:eastAsia="Book Antiqua"/>
          <w:lang w:val="en-US"/>
        </w:rPr>
      </w:pPr>
      <w:r w:rsidRPr="3002998B">
        <w:rPr>
          <w:rFonts w:eastAsia="Book Antiqua"/>
          <w:lang w:val="en-US"/>
        </w:rPr>
        <w:lastRenderedPageBreak/>
        <w:t xml:space="preserve">The guarantee will only be called on if ASC is no longer owned by the Commonwealth and ASC can no longer meet its obligations under the terms of the indemnity. It is </w:t>
      </w:r>
      <w:r>
        <w:rPr>
          <w:rFonts w:eastAsia="Book Antiqua"/>
          <w:lang w:val="en-US"/>
        </w:rPr>
        <w:t xml:space="preserve">Australian </w:t>
      </w:r>
      <w:r w:rsidRPr="3002998B">
        <w:rPr>
          <w:rFonts w:eastAsia="Book Antiqua"/>
          <w:lang w:val="en-US"/>
        </w:rPr>
        <w:t>Government policy to retain ASC as a Government Business Enterprise.</w:t>
      </w:r>
    </w:p>
    <w:p w14:paraId="072048D8" w14:textId="77777777" w:rsidR="00E614C0" w:rsidRPr="00B832E0" w:rsidRDefault="00E614C0" w:rsidP="001078E4">
      <w:pPr>
        <w:pStyle w:val="Heading4"/>
      </w:pPr>
      <w:bookmarkStart w:id="85" w:name="_Toc71117799"/>
      <w:bookmarkStart w:id="86" w:name="_Toc71117800"/>
      <w:bookmarkEnd w:id="85"/>
      <w:r w:rsidRPr="00B832E0">
        <w:t>Australian Government general insurance fund – Comcover</w:t>
      </w:r>
      <w:bookmarkEnd w:id="86"/>
    </w:p>
    <w:p w14:paraId="7C97348C" w14:textId="46F53A19" w:rsidR="00E614C0" w:rsidRPr="00B832E0" w:rsidRDefault="00E614C0" w:rsidP="00542981">
      <w:r w:rsidRPr="00B832E0">
        <w:t>The</w:t>
      </w:r>
      <w:r>
        <w:t xml:space="preserve"> </w:t>
      </w:r>
      <w:r w:rsidRPr="00B832E0">
        <w:t>Department</w:t>
      </w:r>
      <w:r>
        <w:t xml:space="preserve"> </w:t>
      </w:r>
      <w:r w:rsidRPr="00B832E0">
        <w:t>of</w:t>
      </w:r>
      <w:r>
        <w:t xml:space="preserve"> </w:t>
      </w:r>
      <w:r w:rsidRPr="00B832E0">
        <w:t>Finance</w:t>
      </w:r>
      <w:r>
        <w:t xml:space="preserve"> </w:t>
      </w:r>
      <w:r w:rsidRPr="00B832E0">
        <w:t>provides</w:t>
      </w:r>
      <w:r>
        <w:t xml:space="preserve"> </w:t>
      </w:r>
      <w:r w:rsidRPr="00B832E0">
        <w:t>insurance</w:t>
      </w:r>
      <w:r>
        <w:t xml:space="preserve"> </w:t>
      </w:r>
      <w:r w:rsidRPr="00B832E0">
        <w:t>and</w:t>
      </w:r>
      <w:r>
        <w:t xml:space="preserve"> </w:t>
      </w:r>
      <w:r w:rsidRPr="00B832E0">
        <w:t>risk</w:t>
      </w:r>
      <w:r>
        <w:t xml:space="preserve"> </w:t>
      </w:r>
      <w:r w:rsidRPr="00B832E0">
        <w:t>management</w:t>
      </w:r>
      <w:r>
        <w:t xml:space="preserve"> </w:t>
      </w:r>
      <w:r w:rsidRPr="00B832E0">
        <w:t xml:space="preserve">services to </w:t>
      </w:r>
      <w:r w:rsidR="001F3211">
        <w:t>Australian Government</w:t>
      </w:r>
      <w:r w:rsidRPr="00B832E0">
        <w:t xml:space="preserve"> general government sector entities. Insurance liabilities are subject</w:t>
      </w:r>
      <w:r>
        <w:t xml:space="preserve"> </w:t>
      </w:r>
      <w:r w:rsidRPr="00B832E0">
        <w:t>to</w:t>
      </w:r>
      <w:r>
        <w:t xml:space="preserve"> </w:t>
      </w:r>
      <w:r w:rsidRPr="00B832E0">
        <w:t>potential</w:t>
      </w:r>
      <w:r>
        <w:t xml:space="preserve"> </w:t>
      </w:r>
      <w:r w:rsidRPr="00B832E0">
        <w:t>revisions</w:t>
      </w:r>
      <w:r>
        <w:t xml:space="preserve"> </w:t>
      </w:r>
      <w:r w:rsidRPr="00B832E0">
        <w:t>as</w:t>
      </w:r>
      <w:r>
        <w:t xml:space="preserve"> </w:t>
      </w:r>
      <w:r w:rsidRPr="00B832E0">
        <w:t>the</w:t>
      </w:r>
      <w:r>
        <w:t xml:space="preserve"> total number and size of </w:t>
      </w:r>
      <w:r w:rsidRPr="00B832E0">
        <w:t>claims</w:t>
      </w:r>
      <w:r>
        <w:t xml:space="preserve"> covered </w:t>
      </w:r>
      <w:r w:rsidRPr="00B832E0">
        <w:t>is</w:t>
      </w:r>
      <w:r>
        <w:t xml:space="preserve"> </w:t>
      </w:r>
      <w:r w:rsidRPr="00B832E0">
        <w:t>subject</w:t>
      </w:r>
      <w:r>
        <w:t xml:space="preserve"> </w:t>
      </w:r>
      <w:r w:rsidRPr="00B832E0">
        <w:t>to</w:t>
      </w:r>
      <w:r>
        <w:t xml:space="preserve"> unforeseen future </w:t>
      </w:r>
      <w:r w:rsidRPr="00B832E0">
        <w:t>events.</w:t>
      </w:r>
    </w:p>
    <w:p w14:paraId="4FC7D3E6" w14:textId="77777777" w:rsidR="00E614C0" w:rsidRPr="00542981" w:rsidRDefault="00E614C0" w:rsidP="00542981">
      <w:pPr>
        <w:rPr>
          <w:rFonts w:eastAsia="Arial"/>
          <w:spacing w:val="-2"/>
          <w:lang w:val="en-US"/>
        </w:rPr>
      </w:pPr>
      <w:r w:rsidRPr="00542981">
        <w:rPr>
          <w:rFonts w:eastAsia="Arial"/>
          <w:spacing w:val="-2"/>
          <w:lang w:val="en-US"/>
        </w:rPr>
        <w:t>The Department of Finance takes all reasonable steps to ensure it has appropriate information regarding its claims exposure, including regularly updating estimates and parameters based on analysis of claim experience, actuarial calculations and other relevant factors.</w:t>
      </w:r>
    </w:p>
    <w:p w14:paraId="4018EDE7" w14:textId="77777777" w:rsidR="00E614C0" w:rsidRPr="00B832E0" w:rsidRDefault="00E614C0" w:rsidP="001078E4">
      <w:pPr>
        <w:pStyle w:val="Heading4"/>
      </w:pPr>
      <w:r w:rsidRPr="00B832E0">
        <w:t>Commonwealth Superannuation Corporation – immunity and indemnity</w:t>
      </w:r>
    </w:p>
    <w:p w14:paraId="176B9E79" w14:textId="77777777" w:rsidR="00E614C0" w:rsidRPr="00D26483" w:rsidRDefault="00E614C0" w:rsidP="00542981">
      <w:r>
        <w:t xml:space="preserve">The </w:t>
      </w:r>
      <w:r w:rsidRPr="3002998B">
        <w:rPr>
          <w:i/>
          <w:iCs/>
        </w:rPr>
        <w:t>Governance of Australian Government Superannuation Schemes Act 2011</w:t>
      </w:r>
      <w:r>
        <w:t xml:space="preserve"> (the Governance Act) provides specific immunities for activities undertaken in good faith by directors and delegates of the board of the Commonwealth Superannuation Corporation (CSC), provided these activities relate to the performance of their functions.</w:t>
      </w:r>
    </w:p>
    <w:p w14:paraId="16AB3C7C" w14:textId="77777777" w:rsidR="00E614C0" w:rsidRPr="00D26483" w:rsidRDefault="00E614C0" w:rsidP="00542981">
      <w:pPr>
        <w:rPr>
          <w:rFonts w:eastAsia="Book Antiqua"/>
          <w:lang w:val="en-US"/>
        </w:rPr>
      </w:pPr>
      <w:r w:rsidRPr="3002998B">
        <w:rPr>
          <w:rFonts w:eastAsia="Book Antiqua"/>
          <w:lang w:val="en-US"/>
        </w:rPr>
        <w:t xml:space="preserve">Under the Governance Act, other than </w:t>
      </w:r>
      <w:r>
        <w:rPr>
          <w:rFonts w:eastAsia="Book Antiqua"/>
          <w:lang w:val="en-US"/>
        </w:rPr>
        <w:t>where not permitted by</w:t>
      </w:r>
      <w:r w:rsidRPr="3002998B">
        <w:rPr>
          <w:rFonts w:eastAsia="Book Antiqua"/>
          <w:lang w:val="en-US"/>
        </w:rPr>
        <w:t xml:space="preserve"> the </w:t>
      </w:r>
      <w:r w:rsidRPr="3002998B">
        <w:rPr>
          <w:rFonts w:eastAsia="Book Antiqua"/>
          <w:i/>
          <w:iCs/>
          <w:lang w:val="en-US"/>
        </w:rPr>
        <w:t>Superannuation Industry (Supervision) Act 1993</w:t>
      </w:r>
      <w:r w:rsidRPr="3002998B">
        <w:rPr>
          <w:rFonts w:eastAsia="Book Antiqua"/>
          <w:lang w:val="en-US"/>
        </w:rPr>
        <w:t xml:space="preserve"> or regulations under that Act, any money that becomes payable by CSC in respect of an action, liability, claim or demand that relates to the superannuation schemes or funds for which it is responsible, is to be paid out of the relevant superannuation fund or, if there is no fund, the Consolidated Revenue Fund (CRF). Amounts paid from a superannuation fund are reimbursed to the fund from the CRF.</w:t>
      </w:r>
    </w:p>
    <w:p w14:paraId="423C2130" w14:textId="77777777" w:rsidR="00E614C0" w:rsidRPr="00B832E0" w:rsidRDefault="00E614C0" w:rsidP="001078E4">
      <w:pPr>
        <w:pStyle w:val="Heading4"/>
      </w:pPr>
      <w:r w:rsidRPr="00B832E0">
        <w:t xml:space="preserve">Finance owned estate </w:t>
      </w:r>
    </w:p>
    <w:p w14:paraId="17D1F480" w14:textId="37BCA81B" w:rsidR="00E614C0" w:rsidRPr="00542981" w:rsidRDefault="00E614C0" w:rsidP="00542981">
      <w:pPr>
        <w:rPr>
          <w:rFonts w:eastAsia="Arial"/>
        </w:rPr>
      </w:pPr>
      <w:bookmarkStart w:id="87" w:name="_Toc71117803"/>
      <w:r w:rsidRPr="00542981">
        <w:t>The Department of Finance owns and is responsible for managing properties in the Australian Government</w:t>
      </w:r>
      <w:r w:rsidR="00D737F9">
        <w:t>’</w:t>
      </w:r>
      <w:r w:rsidRPr="00542981">
        <w:t>s domestic non</w:t>
      </w:r>
      <w:r w:rsidR="00D737F9">
        <w:noBreakHyphen/>
      </w:r>
      <w:r w:rsidRPr="00542981">
        <w:t>Defence portfolio, including remediation projects of contaminated sites to ensure there is no threat to human health and the environment. A</w:t>
      </w:r>
      <w:r w:rsidR="006037BD" w:rsidRPr="00542981">
        <w:t> </w:t>
      </w:r>
      <w:r w:rsidRPr="00542981">
        <w:t>small number of properties may require remediation and are subject to further investigation. Except for properties at Lucas Heights in New South Wales and Cox</w:t>
      </w:r>
      <w:r w:rsidR="00542981">
        <w:t> </w:t>
      </w:r>
      <w:r w:rsidRPr="00542981">
        <w:t>Peninsula in Northern Territory, none of the properties with potential remediation issues has had a provision for remediation recognised, as neither the conditions for legal nor constructive obligations have been met, nor is a reliable estimate of the obligation currently</w:t>
      </w:r>
      <w:r w:rsidR="00542981">
        <w:t> </w:t>
      </w:r>
      <w:r w:rsidRPr="00542981">
        <w:t>possible.</w:t>
      </w:r>
    </w:p>
    <w:p w14:paraId="6C9D7F9B" w14:textId="77777777" w:rsidR="00E614C0" w:rsidRPr="001A716D" w:rsidRDefault="00E614C0" w:rsidP="001A716D">
      <w:pPr>
        <w:pStyle w:val="Heading4"/>
      </w:pPr>
      <w:r w:rsidRPr="001A716D">
        <w:t>Future Fund Management Agency and Future Fund Board of Guardians – indemnity</w:t>
      </w:r>
      <w:bookmarkEnd w:id="87"/>
    </w:p>
    <w:p w14:paraId="7135447B" w14:textId="21DC69BE" w:rsidR="00E614C0" w:rsidRPr="005B0471" w:rsidRDefault="00E614C0" w:rsidP="00542981">
      <w:r>
        <w:t>The Australian Government has provided certain staff members of the Fu</w:t>
      </w:r>
      <w:r w:rsidRPr="005E5A5D">
        <w:t xml:space="preserve">ture Fund Management Agency (the Agency) and the members (board members) of the Future Fund Board of Guardians (the Board) with deeds of indemnity. The indemnities are intended to cover liabilities in excess of the insurance cover (including Comcover) of the Board, its </w:t>
      </w:r>
      <w:r w:rsidRPr="005E5A5D">
        <w:lastRenderedPageBreak/>
        <w:t>subsidiary entities and the Agency. Board members are indemnified for liabilities incurred arising out of an act, omission or breac</w:t>
      </w:r>
      <w:r>
        <w:t>h of statutory duty by the Board or a board member that relates to the performance of the Board</w:t>
      </w:r>
      <w:r w:rsidR="00D737F9">
        <w:t>’</w:t>
      </w:r>
      <w:r>
        <w:t>s functions or the exercise of the Board</w:t>
      </w:r>
      <w:r w:rsidR="00D737F9">
        <w:t>’</w:t>
      </w:r>
      <w:r>
        <w:t>s powers or that relates to any act, omission or breach of statutory duty by a board member as a director or officer of a wholly</w:t>
      </w:r>
      <w:r w:rsidR="00D737F9">
        <w:noBreakHyphen/>
      </w:r>
      <w:r>
        <w:t>owned Australian subsidiary of the Board.</w:t>
      </w:r>
    </w:p>
    <w:p w14:paraId="23912789" w14:textId="3D223538" w:rsidR="00E614C0" w:rsidRPr="005B0471" w:rsidRDefault="00E614C0" w:rsidP="00542981">
      <w:pPr>
        <w:rPr>
          <w:rFonts w:eastAsia="Arial"/>
          <w:lang w:val="en-US"/>
        </w:rPr>
      </w:pPr>
      <w:r w:rsidRPr="3002998B">
        <w:rPr>
          <w:rFonts w:eastAsia="Arial"/>
          <w:lang w:val="en-US"/>
        </w:rPr>
        <w:t xml:space="preserve">Certain Agency staff members are indemnified in connection with the performance of functions or the exercise of powers in their capacity as a director or officer of investee companies or subsidiaries of the </w:t>
      </w:r>
      <w:r>
        <w:rPr>
          <w:rFonts w:eastAsia="Arial"/>
          <w:lang w:val="en-US"/>
        </w:rPr>
        <w:t>Board</w:t>
      </w:r>
      <w:r w:rsidRPr="3002998B">
        <w:rPr>
          <w:rFonts w:eastAsia="Arial"/>
          <w:lang w:val="en-US"/>
        </w:rPr>
        <w:t xml:space="preserve">. Subject to certain exceptions or qualifications, </w:t>
      </w:r>
      <w:r>
        <w:rPr>
          <w:rFonts w:eastAsia="Arial"/>
          <w:lang w:val="en-US"/>
        </w:rPr>
        <w:t>b</w:t>
      </w:r>
      <w:r w:rsidRPr="3002998B">
        <w:rPr>
          <w:rFonts w:eastAsia="Arial"/>
          <w:lang w:val="en-US"/>
        </w:rPr>
        <w:t>oard members and Agency staff members are indemnified for amounts up to the value of</w:t>
      </w:r>
      <w:r w:rsidR="00542981">
        <w:rPr>
          <w:rFonts w:eastAsia="Arial"/>
          <w:lang w:val="en-US"/>
        </w:rPr>
        <w:t> </w:t>
      </w:r>
      <w:r w:rsidRPr="3002998B">
        <w:rPr>
          <w:rFonts w:eastAsia="Arial"/>
          <w:lang w:val="en-US"/>
        </w:rPr>
        <w:t>the relevant funds.</w:t>
      </w:r>
    </w:p>
    <w:p w14:paraId="12A66832" w14:textId="531CEEBB" w:rsidR="00E614C0" w:rsidRPr="005B0471" w:rsidRDefault="00E614C0" w:rsidP="00542981">
      <w:pPr>
        <w:rPr>
          <w:rFonts w:eastAsia="Arial"/>
          <w:lang w:val="en-US"/>
        </w:rPr>
      </w:pPr>
      <w:r w:rsidRPr="3002998B">
        <w:rPr>
          <w:rFonts w:eastAsia="Arial"/>
          <w:lang w:val="en-US"/>
        </w:rPr>
        <w:t xml:space="preserve">Board members are not indemnified in respect of any liability owed by them to the </w:t>
      </w:r>
      <w:r>
        <w:rPr>
          <w:rFonts w:eastAsia="Arial"/>
          <w:lang w:val="en-US"/>
        </w:rPr>
        <w:t>Board</w:t>
      </w:r>
      <w:r w:rsidRPr="3002998B">
        <w:rPr>
          <w:rFonts w:eastAsia="Arial"/>
          <w:lang w:val="en-US"/>
        </w:rPr>
        <w:t xml:space="preserve"> or its subsidiary, or which results from a contravention of a civil penalty provision of the </w:t>
      </w:r>
      <w:r w:rsidRPr="0069570C">
        <w:rPr>
          <w:rStyle w:val="Emphasis"/>
          <w:rFonts w:eastAsia="Arial"/>
        </w:rPr>
        <w:t>Future Fund Act 2006 or the Corporations Act 2001</w:t>
      </w:r>
      <w:r w:rsidRPr="3002998B">
        <w:rPr>
          <w:rFonts w:eastAsia="Arial"/>
          <w:lang w:val="en-US"/>
        </w:rPr>
        <w:t xml:space="preserve">. Agency staff members are not indemnified to the extent they are indemnified by the relevant investee company or subsidiary, in respect of any liability owed to the </w:t>
      </w:r>
      <w:r>
        <w:rPr>
          <w:rFonts w:eastAsia="Arial"/>
          <w:lang w:val="en-US"/>
        </w:rPr>
        <w:t>Board</w:t>
      </w:r>
      <w:r w:rsidRPr="3002998B">
        <w:rPr>
          <w:rFonts w:eastAsia="Arial"/>
          <w:lang w:val="en-US"/>
        </w:rPr>
        <w:t xml:space="preserve"> or the Commonwealth, or to the extent that they are granted and receive financial assistance under Appendix E of the </w:t>
      </w:r>
      <w:r w:rsidRPr="0054008B">
        <w:rPr>
          <w:rFonts w:eastAsia="Arial"/>
          <w:i/>
          <w:lang w:val="en-US"/>
        </w:rPr>
        <w:t>Legal</w:t>
      </w:r>
      <w:r w:rsidR="00542981">
        <w:rPr>
          <w:rFonts w:eastAsia="Arial"/>
          <w:i/>
          <w:lang w:val="en-US"/>
        </w:rPr>
        <w:t> </w:t>
      </w:r>
      <w:r w:rsidRPr="0054008B">
        <w:rPr>
          <w:rFonts w:eastAsia="Arial"/>
          <w:i/>
          <w:lang w:val="en-US"/>
        </w:rPr>
        <w:t>Services Directions 2017</w:t>
      </w:r>
      <w:r w:rsidRPr="3002998B">
        <w:rPr>
          <w:rFonts w:eastAsia="Arial"/>
          <w:lang w:val="en-US"/>
        </w:rPr>
        <w:t xml:space="preserve">. Both </w:t>
      </w:r>
      <w:r>
        <w:rPr>
          <w:rFonts w:eastAsia="Arial"/>
          <w:lang w:val="en-US"/>
        </w:rPr>
        <w:t>b</w:t>
      </w:r>
      <w:r w:rsidRPr="3002998B">
        <w:rPr>
          <w:rFonts w:eastAsia="Arial"/>
          <w:lang w:val="en-US"/>
        </w:rPr>
        <w:t>oard members and Agency staff members are not indemnified for any liability resulting from conduct they engage in other than in good faith, to the extent they recover a liability under a Directors and Officers insurance policy (including Comcover) or in respect of legal costs incurred by them in unsuccessfully defending or resisting criminal proceedings or proceedings regarding a contravention of a</w:t>
      </w:r>
      <w:r w:rsidR="00542981">
        <w:rPr>
          <w:rFonts w:eastAsia="Arial"/>
          <w:lang w:val="en-US"/>
        </w:rPr>
        <w:t> </w:t>
      </w:r>
      <w:r w:rsidRPr="3002998B">
        <w:rPr>
          <w:rFonts w:eastAsia="Arial"/>
          <w:lang w:val="en-US"/>
        </w:rPr>
        <w:t>civil penalty provision.</w:t>
      </w:r>
    </w:p>
    <w:p w14:paraId="14F80D33" w14:textId="77777777" w:rsidR="00E614C0" w:rsidRPr="00B832E0" w:rsidRDefault="00E614C0" w:rsidP="001078E4">
      <w:pPr>
        <w:pStyle w:val="Heading4"/>
      </w:pPr>
      <w:bookmarkStart w:id="88" w:name="_Toc71117804"/>
      <w:r w:rsidRPr="00B832E0">
        <w:t>Googong Dam</w:t>
      </w:r>
      <w:bookmarkEnd w:id="88"/>
    </w:p>
    <w:p w14:paraId="0B1F1880" w14:textId="5FB84D51" w:rsidR="00E614C0" w:rsidRPr="00B832E0" w:rsidRDefault="00E614C0" w:rsidP="00542981">
      <w:r w:rsidRPr="00B832E0">
        <w:t>On 4</w:t>
      </w:r>
      <w:r w:rsidRPr="00B832E0">
        <w:rPr>
          <w:rFonts w:hint="eastAsia"/>
        </w:rPr>
        <w:t> </w:t>
      </w:r>
      <w:r w:rsidRPr="00B832E0">
        <w:t>September</w:t>
      </w:r>
      <w:r w:rsidRPr="00B832E0">
        <w:rPr>
          <w:rFonts w:hint="eastAsia"/>
        </w:rPr>
        <w:t> </w:t>
      </w:r>
      <w:r w:rsidRPr="00B832E0">
        <w:t>2008, a 150</w:t>
      </w:r>
      <w:r w:rsidR="00D737F9">
        <w:noBreakHyphen/>
      </w:r>
      <w:r w:rsidRPr="00B832E0">
        <w:t>year</w:t>
      </w:r>
      <w:r>
        <w:t> </w:t>
      </w:r>
      <w:r w:rsidRPr="00B832E0">
        <w:t>lease for Googong Dam was signed between the</w:t>
      </w:r>
      <w:r w:rsidR="00542981">
        <w:t xml:space="preserve"> </w:t>
      </w:r>
      <w:r w:rsidRPr="00B832E0">
        <w:t>Australian Government and the Australian Capital Territory</w:t>
      </w:r>
      <w:r>
        <w:t> </w:t>
      </w:r>
      <w:r w:rsidRPr="00B832E0">
        <w:t>(ACT) Government. The</w:t>
      </w:r>
      <w:r w:rsidR="00542981">
        <w:t xml:space="preserve"> </w:t>
      </w:r>
      <w:r w:rsidRPr="00B832E0">
        <w:t>Australian</w:t>
      </w:r>
      <w:r w:rsidRPr="00B832E0">
        <w:rPr>
          <w:spacing w:val="-6"/>
        </w:rPr>
        <w:t xml:space="preserve"> </w:t>
      </w:r>
      <w:r w:rsidRPr="00B832E0">
        <w:t>Government</w:t>
      </w:r>
      <w:r w:rsidRPr="00B832E0">
        <w:rPr>
          <w:spacing w:val="-5"/>
        </w:rPr>
        <w:t xml:space="preserve"> </w:t>
      </w:r>
      <w:r w:rsidRPr="00B832E0">
        <w:t>is</w:t>
      </w:r>
      <w:r w:rsidRPr="00B832E0">
        <w:rPr>
          <w:spacing w:val="-5"/>
        </w:rPr>
        <w:t xml:space="preserve"> </w:t>
      </w:r>
      <w:r w:rsidRPr="00B832E0">
        <w:t>liable</w:t>
      </w:r>
      <w:r w:rsidRPr="00B832E0">
        <w:rPr>
          <w:spacing w:val="-4"/>
        </w:rPr>
        <w:t xml:space="preserve"> </w:t>
      </w:r>
      <w:r w:rsidRPr="00B832E0">
        <w:t>to</w:t>
      </w:r>
      <w:r w:rsidRPr="00B832E0">
        <w:rPr>
          <w:spacing w:val="-6"/>
        </w:rPr>
        <w:t xml:space="preserve"> </w:t>
      </w:r>
      <w:r w:rsidRPr="00B832E0">
        <w:t>pay</w:t>
      </w:r>
      <w:r w:rsidRPr="00B832E0">
        <w:rPr>
          <w:spacing w:val="-5"/>
        </w:rPr>
        <w:t xml:space="preserve"> </w:t>
      </w:r>
      <w:r w:rsidRPr="00B832E0">
        <w:t>just</w:t>
      </w:r>
      <w:r w:rsidRPr="00B832E0">
        <w:rPr>
          <w:spacing w:val="-5"/>
        </w:rPr>
        <w:t xml:space="preserve"> </w:t>
      </w:r>
      <w:r w:rsidRPr="00B832E0">
        <w:t>terms</w:t>
      </w:r>
      <w:r w:rsidRPr="00B832E0">
        <w:rPr>
          <w:spacing w:val="-6"/>
        </w:rPr>
        <w:t xml:space="preserve"> </w:t>
      </w:r>
      <w:r w:rsidRPr="00B832E0">
        <w:t>compensation</w:t>
      </w:r>
      <w:r w:rsidRPr="00B832E0">
        <w:rPr>
          <w:spacing w:val="-5"/>
        </w:rPr>
        <w:t xml:space="preserve"> </w:t>
      </w:r>
      <w:r w:rsidRPr="00B832E0">
        <w:t>if</w:t>
      </w:r>
      <w:r w:rsidRPr="00B832E0">
        <w:rPr>
          <w:spacing w:val="-4"/>
        </w:rPr>
        <w:t xml:space="preserve"> </w:t>
      </w:r>
      <w:r w:rsidRPr="00B832E0">
        <w:t>the</w:t>
      </w:r>
      <w:r w:rsidRPr="00B832E0">
        <w:rPr>
          <w:spacing w:val="-4"/>
        </w:rPr>
        <w:t xml:space="preserve"> </w:t>
      </w:r>
      <w:r w:rsidRPr="00B832E0">
        <w:t>terms</w:t>
      </w:r>
      <w:r w:rsidRPr="00B832E0">
        <w:rPr>
          <w:spacing w:val="-3"/>
        </w:rPr>
        <w:t xml:space="preserve"> </w:t>
      </w:r>
      <w:r w:rsidRPr="00B832E0">
        <w:t>of</w:t>
      </w:r>
      <w:r w:rsidRPr="00B832E0">
        <w:rPr>
          <w:spacing w:val="-4"/>
        </w:rPr>
        <w:t xml:space="preserve"> </w:t>
      </w:r>
      <w:r w:rsidRPr="00B832E0">
        <w:t>the</w:t>
      </w:r>
      <w:r w:rsidRPr="00B832E0">
        <w:rPr>
          <w:spacing w:val="-5"/>
        </w:rPr>
        <w:t xml:space="preserve"> </w:t>
      </w:r>
      <w:r w:rsidRPr="00B832E0">
        <w:t>lease are</w:t>
      </w:r>
      <w:r w:rsidR="00542981">
        <w:t> </w:t>
      </w:r>
      <w:r w:rsidRPr="00B832E0">
        <w:t xml:space="preserve">breached by introducing new legislation or changing the </w:t>
      </w:r>
      <w:r w:rsidRPr="0069570C">
        <w:rPr>
          <w:rStyle w:val="Emphasis"/>
        </w:rPr>
        <w:t>Canberra Water Supply</w:t>
      </w:r>
      <w:r w:rsidR="00542981" w:rsidRPr="0069570C">
        <w:rPr>
          <w:rStyle w:val="Emphasis"/>
        </w:rPr>
        <w:t xml:space="preserve"> </w:t>
      </w:r>
      <w:r w:rsidRPr="0069570C">
        <w:rPr>
          <w:rStyle w:val="Emphasis"/>
        </w:rPr>
        <w:t>(Googong</w:t>
      </w:r>
      <w:r w:rsidR="00542981" w:rsidRPr="0069570C">
        <w:rPr>
          <w:rStyle w:val="Emphasis"/>
        </w:rPr>
        <w:t> </w:t>
      </w:r>
      <w:r w:rsidRPr="0069570C">
        <w:rPr>
          <w:rStyle w:val="Emphasis"/>
        </w:rPr>
        <w:t>Dam) Act 1974</w:t>
      </w:r>
      <w:r w:rsidRPr="00B832E0">
        <w:rPr>
          <w:i/>
        </w:rPr>
        <w:t xml:space="preserve"> </w:t>
      </w:r>
      <w:r w:rsidRPr="00B832E0">
        <w:t>in a way that impacts on the rights of the</w:t>
      </w:r>
      <w:r>
        <w:t> </w:t>
      </w:r>
      <w:r w:rsidRPr="00B832E0">
        <w:t>ACT. The lease includes a</w:t>
      </w:r>
      <w:r w:rsidR="00542981">
        <w:t> </w:t>
      </w:r>
      <w:r w:rsidRPr="00B832E0">
        <w:t>requirement for the Australian Government to undertake rectification of easements or any defects in title in relation to Googong Dam, and remediation of any contamination it may have caused to the</w:t>
      </w:r>
      <w:r w:rsidRPr="00B832E0">
        <w:rPr>
          <w:rFonts w:hint="eastAsia"/>
        </w:rPr>
        <w:t> </w:t>
      </w:r>
      <w:r w:rsidRPr="00B832E0">
        <w:t>site. It also gives an indemnity in relation to acts or omissions by the Australian</w:t>
      </w:r>
      <w:r w:rsidRPr="00B832E0">
        <w:rPr>
          <w:spacing w:val="-4"/>
        </w:rPr>
        <w:t xml:space="preserve"> </w:t>
      </w:r>
      <w:r w:rsidRPr="00B832E0">
        <w:t>Government.</w:t>
      </w:r>
      <w:bookmarkStart w:id="89" w:name="_Toc71117805"/>
      <w:r w:rsidRPr="00B832E0">
        <w:t xml:space="preserve"> </w:t>
      </w:r>
      <w:bookmarkEnd w:id="89"/>
    </w:p>
    <w:p w14:paraId="42FB981A" w14:textId="77777777" w:rsidR="00E614C0" w:rsidRPr="00B832E0" w:rsidRDefault="00E614C0" w:rsidP="001078E4">
      <w:pPr>
        <w:pStyle w:val="Heading4"/>
      </w:pPr>
      <w:r w:rsidRPr="00B832E0">
        <w:t>Indemnities for the Reserve Bank of Australia and private sector banks</w:t>
      </w:r>
    </w:p>
    <w:p w14:paraId="490700BA" w14:textId="3FDC62E2" w:rsidR="00E614C0" w:rsidRDefault="00E614C0" w:rsidP="00542981">
      <w:r w:rsidRPr="00B832E0">
        <w:t>In accordance with Government entities</w:t>
      </w:r>
      <w:r w:rsidR="00D737F9">
        <w:t>’</w:t>
      </w:r>
      <w:r w:rsidRPr="00B832E0">
        <w:t xml:space="preserve"> contracts for transactional banking services, the Australian Government has indemnified the Reserve Bank of Australia and contracted private sector banks against loss and damage arising from error or fraud by an entity, or transactions made by a bank with the authority of an entity.</w:t>
      </w:r>
    </w:p>
    <w:p w14:paraId="2CB3ACE6" w14:textId="77777777" w:rsidR="00E614C0" w:rsidRDefault="00E614C0" w:rsidP="00542981">
      <w:r>
        <w:br w:type="page"/>
      </w:r>
    </w:p>
    <w:p w14:paraId="03FCB86B" w14:textId="77777777" w:rsidR="00E614C0" w:rsidRPr="00B832E0" w:rsidRDefault="00E614C0" w:rsidP="001078E4">
      <w:pPr>
        <w:pStyle w:val="Heading4"/>
      </w:pPr>
      <w:bookmarkStart w:id="90" w:name="_Toc71117806"/>
      <w:r w:rsidRPr="00B832E0">
        <w:lastRenderedPageBreak/>
        <w:t>Indemnities relating to other former asset sales, privatisations and information technology outsourcing projects</w:t>
      </w:r>
      <w:bookmarkEnd w:id="90"/>
    </w:p>
    <w:p w14:paraId="113B9194" w14:textId="77777777" w:rsidR="00E614C0" w:rsidRPr="00B832E0" w:rsidRDefault="00E614C0" w:rsidP="001A716D">
      <w:r w:rsidRPr="00B832E0">
        <w:t>Ongoing and terminating indemnities have been given in respect of a range of asset sales, privatisations and information technology outsourcing projects that have been conducted by the Department of Finance and the former Office of Asset Sales and Commercial Support and its predecessors. The probability of an action being brought under one of these indemnities diminishes over time.</w:t>
      </w:r>
    </w:p>
    <w:p w14:paraId="354C90CA" w14:textId="77777777" w:rsidR="00E614C0" w:rsidRDefault="00E614C0" w:rsidP="001A716D">
      <w:pPr>
        <w:rPr>
          <w:rFonts w:eastAsia="Book Antiqua"/>
          <w:lang w:val="en-US"/>
        </w:rPr>
      </w:pPr>
      <w:r w:rsidRPr="3002998B">
        <w:rPr>
          <w:rFonts w:eastAsia="Book Antiqua"/>
          <w:lang w:val="en-US"/>
        </w:rPr>
        <w:t xml:space="preserve">Details of indemnities in respect of other asset sales and privatisations have been provided in previous Budget and MYEFO papers, and previous Annual Reports of </w:t>
      </w:r>
      <w:r>
        <w:rPr>
          <w:rFonts w:eastAsia="Book Antiqua"/>
          <w:lang w:val="en-US"/>
        </w:rPr>
        <w:t xml:space="preserve">the Department of </w:t>
      </w:r>
      <w:r w:rsidRPr="3002998B">
        <w:rPr>
          <w:rFonts w:eastAsia="Book Antiqua"/>
          <w:lang w:val="en-US"/>
        </w:rPr>
        <w:t>Finance and the Office of Asset Sales and Commercial Support.</w:t>
      </w:r>
    </w:p>
    <w:p w14:paraId="555B6DCC" w14:textId="77777777" w:rsidR="00E614C0" w:rsidRPr="00782A26" w:rsidRDefault="00E614C0" w:rsidP="001A716D">
      <w:pPr>
        <w:rPr>
          <w:rFonts w:eastAsia="Book Antiqua"/>
          <w:lang w:val="en-US"/>
        </w:rPr>
      </w:pPr>
      <w:r w:rsidRPr="3002998B">
        <w:rPr>
          <w:rFonts w:eastAsia="Book Antiqua"/>
          <w:lang w:val="en-US"/>
        </w:rPr>
        <w:t xml:space="preserve">Indemnified bodies are listed </w:t>
      </w:r>
      <w:r>
        <w:rPr>
          <w:rFonts w:eastAsia="Book Antiqua"/>
          <w:lang w:val="en-US"/>
        </w:rPr>
        <w:t>below</w:t>
      </w:r>
      <w:r w:rsidRPr="3002998B">
        <w:rPr>
          <w:rFonts w:eastAsia="Book Antiqua"/>
          <w:lang w:val="en-US"/>
        </w:rPr>
        <w:t xml:space="preserve">. Apart from instances noted elsewhere, </w:t>
      </w:r>
      <w:r>
        <w:rPr>
          <w:rFonts w:eastAsia="Book Antiqua"/>
          <w:lang w:val="en-US"/>
        </w:rPr>
        <w:t xml:space="preserve">the Department of </w:t>
      </w:r>
      <w:r w:rsidRPr="3002998B">
        <w:rPr>
          <w:rFonts w:eastAsia="Book Antiqua"/>
          <w:lang w:val="en-US"/>
        </w:rPr>
        <w:t>Finance does not currently expect any other action to be taken in respect of these indemnities.</w:t>
      </w:r>
    </w:p>
    <w:tbl>
      <w:tblPr>
        <w:tblW w:w="7711" w:type="dxa"/>
        <w:tblBorders>
          <w:top w:val="single" w:sz="4" w:space="0" w:color="002A54" w:themeColor="text2"/>
          <w:bottom w:val="single" w:sz="4" w:space="0" w:color="002A54" w:themeColor="text2"/>
          <w:insideH w:val="single" w:sz="4" w:space="0" w:color="002A54" w:themeColor="text2"/>
        </w:tblBorders>
        <w:tblLayout w:type="fixed"/>
        <w:tblCellMar>
          <w:left w:w="0" w:type="dxa"/>
          <w:right w:w="28" w:type="dxa"/>
        </w:tblCellMar>
        <w:tblLook w:val="01E0" w:firstRow="1" w:lastRow="1" w:firstColumn="1" w:lastColumn="1" w:noHBand="0" w:noVBand="0"/>
        <w:tblCaption w:val="Table"/>
      </w:tblPr>
      <w:tblGrid>
        <w:gridCol w:w="5854"/>
        <w:gridCol w:w="1857"/>
      </w:tblGrid>
      <w:tr w:rsidR="00E614C0" w:rsidRPr="00B832E0" w14:paraId="092BFBDD" w14:textId="77777777" w:rsidTr="00042053">
        <w:trPr>
          <w:trHeight w:val="263"/>
          <w:tblHeader/>
        </w:trPr>
        <w:tc>
          <w:tcPr>
            <w:tcW w:w="5854" w:type="dxa"/>
            <w:shd w:val="clear" w:color="auto" w:fill="E6F2FF"/>
          </w:tcPr>
          <w:p w14:paraId="2F9011D6" w14:textId="77777777" w:rsidR="00E614C0" w:rsidRPr="00B832E0" w:rsidRDefault="00E614C0" w:rsidP="00042053">
            <w:pPr>
              <w:pStyle w:val="TableColumnHeadingLeft"/>
              <w:rPr>
                <w:rFonts w:eastAsia="Arial"/>
              </w:rPr>
            </w:pPr>
            <w:r w:rsidRPr="00B832E0">
              <w:rPr>
                <w:rFonts w:eastAsia="Arial"/>
              </w:rPr>
              <w:t>Indemnified body</w:t>
            </w:r>
          </w:p>
        </w:tc>
        <w:tc>
          <w:tcPr>
            <w:tcW w:w="1857" w:type="dxa"/>
            <w:shd w:val="clear" w:color="auto" w:fill="E6F2FF"/>
          </w:tcPr>
          <w:p w14:paraId="450919B5" w14:textId="77777777" w:rsidR="00E614C0" w:rsidRPr="00B832E0" w:rsidRDefault="00E614C0" w:rsidP="00042053">
            <w:pPr>
              <w:pStyle w:val="TableColumnHeadingLeft"/>
              <w:rPr>
                <w:rFonts w:eastAsia="Arial"/>
              </w:rPr>
            </w:pPr>
            <w:r w:rsidRPr="00B832E0">
              <w:rPr>
                <w:rFonts w:eastAsia="Arial"/>
              </w:rPr>
              <w:t>Year(s) raised</w:t>
            </w:r>
          </w:p>
        </w:tc>
      </w:tr>
      <w:tr w:rsidR="00E614C0" w:rsidRPr="00B832E0" w14:paraId="5E31F1F3" w14:textId="77777777" w:rsidTr="00042053">
        <w:trPr>
          <w:trHeight w:val="225"/>
        </w:trPr>
        <w:tc>
          <w:tcPr>
            <w:tcW w:w="5854" w:type="dxa"/>
          </w:tcPr>
          <w:p w14:paraId="776A0F38" w14:textId="77777777" w:rsidR="00E614C0" w:rsidRPr="00B832E0" w:rsidRDefault="00E614C0" w:rsidP="00042053">
            <w:pPr>
              <w:pStyle w:val="TableTextLeft"/>
              <w:rPr>
                <w:rFonts w:eastAsia="Arial"/>
              </w:rPr>
            </w:pPr>
            <w:r w:rsidRPr="00B832E0">
              <w:rPr>
                <w:rFonts w:eastAsia="Arial"/>
              </w:rPr>
              <w:t>ADI Ltd</w:t>
            </w:r>
          </w:p>
        </w:tc>
        <w:tc>
          <w:tcPr>
            <w:tcW w:w="1857" w:type="dxa"/>
          </w:tcPr>
          <w:p w14:paraId="3AD6D18D" w14:textId="77777777" w:rsidR="00E614C0" w:rsidRPr="00B832E0" w:rsidRDefault="00E614C0" w:rsidP="00042053">
            <w:pPr>
              <w:pStyle w:val="TableTextLeft"/>
              <w:rPr>
                <w:rFonts w:eastAsia="Arial"/>
              </w:rPr>
            </w:pPr>
            <w:r w:rsidRPr="00B832E0">
              <w:rPr>
                <w:rFonts w:eastAsia="Arial"/>
              </w:rPr>
              <w:t>1998</w:t>
            </w:r>
          </w:p>
        </w:tc>
      </w:tr>
      <w:tr w:rsidR="00E614C0" w:rsidRPr="00B832E0" w14:paraId="62FC9EAD" w14:textId="77777777" w:rsidTr="00042053">
        <w:trPr>
          <w:trHeight w:val="225"/>
        </w:trPr>
        <w:tc>
          <w:tcPr>
            <w:tcW w:w="5854" w:type="dxa"/>
          </w:tcPr>
          <w:p w14:paraId="3D1BEE6A" w14:textId="77777777" w:rsidR="00E614C0" w:rsidRPr="00B832E0" w:rsidRDefault="00E614C0" w:rsidP="00042053">
            <w:pPr>
              <w:pStyle w:val="TableTextLeft"/>
              <w:rPr>
                <w:rFonts w:eastAsia="Arial"/>
              </w:rPr>
            </w:pPr>
            <w:r w:rsidRPr="00B832E0">
              <w:rPr>
                <w:rFonts w:eastAsia="Arial"/>
              </w:rPr>
              <w:t>Albury–Wodonga Development Corporation</w:t>
            </w:r>
          </w:p>
        </w:tc>
        <w:tc>
          <w:tcPr>
            <w:tcW w:w="1857" w:type="dxa"/>
          </w:tcPr>
          <w:p w14:paraId="73962B00" w14:textId="77777777" w:rsidR="00E614C0" w:rsidRPr="00B832E0" w:rsidRDefault="00E614C0" w:rsidP="00042053">
            <w:pPr>
              <w:pStyle w:val="TableTextLeft"/>
              <w:rPr>
                <w:rFonts w:eastAsia="Arial"/>
              </w:rPr>
            </w:pPr>
            <w:r w:rsidRPr="00B832E0">
              <w:rPr>
                <w:rFonts w:eastAsia="Arial"/>
              </w:rPr>
              <w:t>2014</w:t>
            </w:r>
          </w:p>
        </w:tc>
      </w:tr>
      <w:tr w:rsidR="00E614C0" w:rsidRPr="00B832E0" w14:paraId="3242C633" w14:textId="77777777" w:rsidTr="00042053">
        <w:trPr>
          <w:trHeight w:val="225"/>
        </w:trPr>
        <w:tc>
          <w:tcPr>
            <w:tcW w:w="5854" w:type="dxa"/>
          </w:tcPr>
          <w:p w14:paraId="10604079" w14:textId="77777777" w:rsidR="00E614C0" w:rsidRPr="00B832E0" w:rsidRDefault="00E614C0" w:rsidP="00042053">
            <w:pPr>
              <w:pStyle w:val="TableTextLeft"/>
              <w:rPr>
                <w:rFonts w:eastAsia="Arial"/>
              </w:rPr>
            </w:pPr>
            <w:r w:rsidRPr="00B832E0">
              <w:rPr>
                <w:rFonts w:eastAsia="Arial"/>
              </w:rPr>
              <w:t>Australian Airlines</w:t>
            </w:r>
          </w:p>
        </w:tc>
        <w:tc>
          <w:tcPr>
            <w:tcW w:w="1857" w:type="dxa"/>
          </w:tcPr>
          <w:p w14:paraId="57960B77" w14:textId="77777777" w:rsidR="00E614C0" w:rsidRPr="00B832E0" w:rsidRDefault="00E614C0" w:rsidP="00042053">
            <w:pPr>
              <w:pStyle w:val="TableTextLeft"/>
              <w:rPr>
                <w:rFonts w:eastAsia="Arial"/>
              </w:rPr>
            </w:pPr>
            <w:r w:rsidRPr="00B832E0">
              <w:rPr>
                <w:rFonts w:eastAsia="Arial"/>
              </w:rPr>
              <w:t>1991</w:t>
            </w:r>
          </w:p>
        </w:tc>
      </w:tr>
      <w:tr w:rsidR="00E614C0" w:rsidRPr="00B832E0" w14:paraId="604B933E" w14:textId="77777777" w:rsidTr="00042053">
        <w:trPr>
          <w:trHeight w:val="222"/>
        </w:trPr>
        <w:tc>
          <w:tcPr>
            <w:tcW w:w="5854" w:type="dxa"/>
          </w:tcPr>
          <w:p w14:paraId="46BA5091" w14:textId="77777777" w:rsidR="00E614C0" w:rsidRPr="00B832E0" w:rsidRDefault="00E614C0" w:rsidP="00042053">
            <w:pPr>
              <w:pStyle w:val="TableTextLeft"/>
              <w:rPr>
                <w:rFonts w:eastAsia="Arial"/>
              </w:rPr>
            </w:pPr>
            <w:r w:rsidRPr="00B832E0">
              <w:rPr>
                <w:rFonts w:eastAsia="Arial"/>
              </w:rPr>
              <w:t>Australian Industry Development Corporation</w:t>
            </w:r>
          </w:p>
        </w:tc>
        <w:tc>
          <w:tcPr>
            <w:tcW w:w="1857" w:type="dxa"/>
          </w:tcPr>
          <w:p w14:paraId="74B1B3CC" w14:textId="77777777" w:rsidR="00E614C0" w:rsidRPr="00B832E0" w:rsidRDefault="00E614C0" w:rsidP="00042053">
            <w:pPr>
              <w:pStyle w:val="TableTextLeft"/>
              <w:rPr>
                <w:rFonts w:eastAsia="Arial"/>
              </w:rPr>
            </w:pPr>
            <w:r w:rsidRPr="00B832E0">
              <w:rPr>
                <w:rFonts w:eastAsia="Arial"/>
              </w:rPr>
              <w:t>1996</w:t>
            </w:r>
          </w:p>
        </w:tc>
      </w:tr>
      <w:tr w:rsidR="00E614C0" w:rsidRPr="00B832E0" w14:paraId="35C52D85" w14:textId="77777777" w:rsidTr="00042053">
        <w:trPr>
          <w:trHeight w:val="225"/>
        </w:trPr>
        <w:tc>
          <w:tcPr>
            <w:tcW w:w="5854" w:type="dxa"/>
          </w:tcPr>
          <w:p w14:paraId="4E5C8E5C" w14:textId="77777777" w:rsidR="00E614C0" w:rsidRPr="00B832E0" w:rsidRDefault="00E614C0" w:rsidP="00042053">
            <w:pPr>
              <w:pStyle w:val="TableTextLeft"/>
              <w:rPr>
                <w:rFonts w:eastAsia="Arial"/>
              </w:rPr>
            </w:pPr>
            <w:r w:rsidRPr="00B832E0">
              <w:rPr>
                <w:rFonts w:eastAsia="Arial"/>
              </w:rPr>
              <w:t>Australian Multimedia Enterprise</w:t>
            </w:r>
          </w:p>
        </w:tc>
        <w:tc>
          <w:tcPr>
            <w:tcW w:w="1857" w:type="dxa"/>
          </w:tcPr>
          <w:p w14:paraId="4FCE3B49" w14:textId="77777777" w:rsidR="00E614C0" w:rsidRPr="00B832E0" w:rsidRDefault="00E614C0" w:rsidP="00042053">
            <w:pPr>
              <w:pStyle w:val="TableTextLeft"/>
              <w:rPr>
                <w:rFonts w:eastAsia="Arial"/>
              </w:rPr>
            </w:pPr>
            <w:r w:rsidRPr="00B832E0">
              <w:rPr>
                <w:rFonts w:eastAsia="Arial"/>
              </w:rPr>
              <w:t>1997</w:t>
            </w:r>
          </w:p>
        </w:tc>
      </w:tr>
      <w:tr w:rsidR="00E614C0" w:rsidRPr="00B832E0" w14:paraId="0591BA5D" w14:textId="77777777" w:rsidTr="00042053">
        <w:trPr>
          <w:trHeight w:val="225"/>
        </w:trPr>
        <w:tc>
          <w:tcPr>
            <w:tcW w:w="5854" w:type="dxa"/>
          </w:tcPr>
          <w:p w14:paraId="68702486" w14:textId="77777777" w:rsidR="00E614C0" w:rsidRPr="00B832E0" w:rsidRDefault="00E614C0" w:rsidP="00042053">
            <w:pPr>
              <w:pStyle w:val="TableTextLeft"/>
              <w:rPr>
                <w:rFonts w:eastAsia="Arial"/>
              </w:rPr>
            </w:pPr>
            <w:r w:rsidRPr="00B832E0">
              <w:rPr>
                <w:rFonts w:eastAsia="Arial"/>
              </w:rPr>
              <w:t>Australian National Rail Commission and National Rail Corporation Ltd</w:t>
            </w:r>
          </w:p>
        </w:tc>
        <w:tc>
          <w:tcPr>
            <w:tcW w:w="1857" w:type="dxa"/>
          </w:tcPr>
          <w:p w14:paraId="31362762" w14:textId="77777777" w:rsidR="00E614C0" w:rsidRPr="00B832E0" w:rsidRDefault="00E614C0" w:rsidP="00042053">
            <w:pPr>
              <w:pStyle w:val="TableTextLeft"/>
              <w:rPr>
                <w:rFonts w:eastAsia="Arial"/>
              </w:rPr>
            </w:pPr>
            <w:r w:rsidRPr="00B832E0">
              <w:rPr>
                <w:rFonts w:eastAsia="Arial"/>
              </w:rPr>
              <w:t>1997 and 2000</w:t>
            </w:r>
          </w:p>
        </w:tc>
      </w:tr>
      <w:tr w:rsidR="00E614C0" w:rsidRPr="00B832E0" w14:paraId="50ADC9D3" w14:textId="77777777" w:rsidTr="00042053">
        <w:trPr>
          <w:trHeight w:val="222"/>
        </w:trPr>
        <w:tc>
          <w:tcPr>
            <w:tcW w:w="5854" w:type="dxa"/>
          </w:tcPr>
          <w:p w14:paraId="42A73A82" w14:textId="77777777" w:rsidR="00E614C0" w:rsidRPr="00B832E0" w:rsidRDefault="00E614C0" w:rsidP="00042053">
            <w:pPr>
              <w:pStyle w:val="TableTextLeft"/>
              <w:rPr>
                <w:rFonts w:eastAsia="Arial"/>
              </w:rPr>
            </w:pPr>
            <w:r w:rsidRPr="00B832E0">
              <w:rPr>
                <w:rFonts w:eastAsia="Arial"/>
              </w:rPr>
              <w:t>Australian River Co Ltd</w:t>
            </w:r>
          </w:p>
        </w:tc>
        <w:tc>
          <w:tcPr>
            <w:tcW w:w="1857" w:type="dxa"/>
          </w:tcPr>
          <w:p w14:paraId="247C53F6" w14:textId="77777777" w:rsidR="00E614C0" w:rsidRPr="00B832E0" w:rsidRDefault="00E614C0" w:rsidP="00042053">
            <w:pPr>
              <w:pStyle w:val="TableTextLeft"/>
              <w:rPr>
                <w:rFonts w:eastAsia="Arial"/>
              </w:rPr>
            </w:pPr>
            <w:r w:rsidRPr="00B832E0">
              <w:rPr>
                <w:rFonts w:eastAsia="Arial"/>
              </w:rPr>
              <w:t>1999</w:t>
            </w:r>
          </w:p>
        </w:tc>
      </w:tr>
      <w:tr w:rsidR="00E614C0" w:rsidRPr="00B832E0" w14:paraId="5FC5C37B" w14:textId="77777777" w:rsidTr="00042053">
        <w:trPr>
          <w:trHeight w:val="225"/>
        </w:trPr>
        <w:tc>
          <w:tcPr>
            <w:tcW w:w="5854" w:type="dxa"/>
          </w:tcPr>
          <w:p w14:paraId="36248C1A" w14:textId="77777777" w:rsidR="00E614C0" w:rsidRPr="00B832E0" w:rsidRDefault="00E614C0" w:rsidP="00042053">
            <w:pPr>
              <w:pStyle w:val="TableTextLeft"/>
              <w:rPr>
                <w:rFonts w:eastAsia="Arial"/>
              </w:rPr>
            </w:pPr>
            <w:r w:rsidRPr="00B832E0">
              <w:rPr>
                <w:rFonts w:eastAsia="Arial"/>
              </w:rPr>
              <w:t>Australian Submarine Corporation Pty Ltd</w:t>
            </w:r>
          </w:p>
        </w:tc>
        <w:tc>
          <w:tcPr>
            <w:tcW w:w="1857" w:type="dxa"/>
          </w:tcPr>
          <w:p w14:paraId="331FA33A" w14:textId="77777777" w:rsidR="00E614C0" w:rsidRPr="00B832E0" w:rsidRDefault="00E614C0" w:rsidP="00042053">
            <w:pPr>
              <w:pStyle w:val="TableTextLeft"/>
              <w:rPr>
                <w:rFonts w:eastAsia="Arial"/>
              </w:rPr>
            </w:pPr>
            <w:r w:rsidRPr="00B832E0">
              <w:rPr>
                <w:rFonts w:eastAsia="Arial"/>
              </w:rPr>
              <w:t>2000</w:t>
            </w:r>
          </w:p>
        </w:tc>
      </w:tr>
      <w:tr w:rsidR="00E614C0" w:rsidRPr="00B832E0" w14:paraId="38D5A169" w14:textId="77777777" w:rsidTr="00042053">
        <w:trPr>
          <w:trHeight w:val="222"/>
        </w:trPr>
        <w:tc>
          <w:tcPr>
            <w:tcW w:w="5854" w:type="dxa"/>
          </w:tcPr>
          <w:p w14:paraId="40E9369A" w14:textId="77777777" w:rsidR="00E614C0" w:rsidRPr="00B832E0" w:rsidRDefault="00E614C0" w:rsidP="00042053">
            <w:pPr>
              <w:pStyle w:val="TableTextLeft"/>
              <w:rPr>
                <w:rFonts w:eastAsia="Arial"/>
              </w:rPr>
            </w:pPr>
            <w:r w:rsidRPr="00B832E0">
              <w:rPr>
                <w:rFonts w:eastAsia="Arial"/>
              </w:rPr>
              <w:t>Bankstown Airport Ltd</w:t>
            </w:r>
          </w:p>
        </w:tc>
        <w:tc>
          <w:tcPr>
            <w:tcW w:w="1857" w:type="dxa"/>
          </w:tcPr>
          <w:p w14:paraId="4DE08185" w14:textId="77777777" w:rsidR="00E614C0" w:rsidRPr="00B832E0" w:rsidRDefault="00E614C0" w:rsidP="00042053">
            <w:pPr>
              <w:pStyle w:val="TableTextLeft"/>
              <w:rPr>
                <w:rFonts w:eastAsia="Arial"/>
              </w:rPr>
            </w:pPr>
            <w:r w:rsidRPr="00B832E0">
              <w:rPr>
                <w:rFonts w:eastAsia="Arial"/>
              </w:rPr>
              <w:t>2002</w:t>
            </w:r>
          </w:p>
        </w:tc>
      </w:tr>
      <w:tr w:rsidR="00E614C0" w:rsidRPr="00B832E0" w14:paraId="36710B52" w14:textId="77777777" w:rsidTr="00042053">
        <w:trPr>
          <w:trHeight w:val="225"/>
        </w:trPr>
        <w:tc>
          <w:tcPr>
            <w:tcW w:w="5854" w:type="dxa"/>
          </w:tcPr>
          <w:p w14:paraId="769E07AB" w14:textId="77777777" w:rsidR="00E614C0" w:rsidRPr="00B832E0" w:rsidRDefault="00E614C0" w:rsidP="00042053">
            <w:pPr>
              <w:pStyle w:val="TableTextLeft"/>
              <w:rPr>
                <w:rFonts w:eastAsia="Arial"/>
              </w:rPr>
            </w:pPr>
            <w:r w:rsidRPr="00B832E0">
              <w:rPr>
                <w:rFonts w:eastAsia="Arial"/>
              </w:rPr>
              <w:t>Camden Airport Ltd</w:t>
            </w:r>
          </w:p>
        </w:tc>
        <w:tc>
          <w:tcPr>
            <w:tcW w:w="1857" w:type="dxa"/>
          </w:tcPr>
          <w:p w14:paraId="279912C0" w14:textId="77777777" w:rsidR="00E614C0" w:rsidRPr="00B832E0" w:rsidRDefault="00E614C0" w:rsidP="00042053">
            <w:pPr>
              <w:pStyle w:val="TableTextLeft"/>
              <w:rPr>
                <w:rFonts w:eastAsia="Arial"/>
              </w:rPr>
            </w:pPr>
            <w:r w:rsidRPr="00B832E0">
              <w:rPr>
                <w:rFonts w:eastAsia="Arial"/>
              </w:rPr>
              <w:t>2002</w:t>
            </w:r>
          </w:p>
        </w:tc>
      </w:tr>
      <w:tr w:rsidR="00E614C0" w:rsidRPr="00B832E0" w14:paraId="75E771A1" w14:textId="77777777" w:rsidTr="00042053">
        <w:trPr>
          <w:trHeight w:val="225"/>
        </w:trPr>
        <w:tc>
          <w:tcPr>
            <w:tcW w:w="5854" w:type="dxa"/>
          </w:tcPr>
          <w:p w14:paraId="29CC0BC7" w14:textId="77777777" w:rsidR="00E614C0" w:rsidRPr="00B832E0" w:rsidRDefault="00E614C0" w:rsidP="00042053">
            <w:pPr>
              <w:pStyle w:val="TableTextLeft"/>
              <w:rPr>
                <w:rFonts w:eastAsia="Arial"/>
              </w:rPr>
            </w:pPr>
            <w:r w:rsidRPr="00B832E0">
              <w:rPr>
                <w:rFonts w:eastAsia="Arial"/>
              </w:rPr>
              <w:t>ComLand Ltd</w:t>
            </w:r>
          </w:p>
        </w:tc>
        <w:tc>
          <w:tcPr>
            <w:tcW w:w="1857" w:type="dxa"/>
          </w:tcPr>
          <w:p w14:paraId="13EC939C" w14:textId="77777777" w:rsidR="00E614C0" w:rsidRPr="00B832E0" w:rsidRDefault="00E614C0" w:rsidP="00042053">
            <w:pPr>
              <w:pStyle w:val="TableTextLeft"/>
              <w:rPr>
                <w:rFonts w:eastAsia="Arial"/>
              </w:rPr>
            </w:pPr>
            <w:r w:rsidRPr="00B832E0">
              <w:rPr>
                <w:rFonts w:eastAsia="Arial"/>
              </w:rPr>
              <w:t>2004</w:t>
            </w:r>
          </w:p>
        </w:tc>
      </w:tr>
      <w:tr w:rsidR="00E614C0" w:rsidRPr="00B832E0" w14:paraId="21616977" w14:textId="77777777" w:rsidTr="00042053">
        <w:trPr>
          <w:trHeight w:val="225"/>
        </w:trPr>
        <w:tc>
          <w:tcPr>
            <w:tcW w:w="5854" w:type="dxa"/>
          </w:tcPr>
          <w:p w14:paraId="4AFF22E7" w14:textId="77777777" w:rsidR="00E614C0" w:rsidRPr="00B832E0" w:rsidRDefault="00E614C0" w:rsidP="00042053">
            <w:pPr>
              <w:pStyle w:val="TableTextLeft"/>
              <w:rPr>
                <w:rFonts w:eastAsia="Arial"/>
              </w:rPr>
            </w:pPr>
            <w:r w:rsidRPr="00B832E0">
              <w:rPr>
                <w:rFonts w:eastAsia="Arial"/>
              </w:rPr>
              <w:t>Commonwealth Accommodation and Catering Services</w:t>
            </w:r>
          </w:p>
        </w:tc>
        <w:tc>
          <w:tcPr>
            <w:tcW w:w="1857" w:type="dxa"/>
          </w:tcPr>
          <w:p w14:paraId="38EAC3AC" w14:textId="77777777" w:rsidR="00E614C0" w:rsidRPr="00B832E0" w:rsidRDefault="00E614C0" w:rsidP="00042053">
            <w:pPr>
              <w:pStyle w:val="TableTextLeft"/>
              <w:rPr>
                <w:rFonts w:eastAsia="Arial"/>
              </w:rPr>
            </w:pPr>
            <w:r w:rsidRPr="00B832E0">
              <w:rPr>
                <w:rFonts w:eastAsia="Arial"/>
              </w:rPr>
              <w:t>1988</w:t>
            </w:r>
          </w:p>
        </w:tc>
      </w:tr>
      <w:tr w:rsidR="00E614C0" w:rsidRPr="00B832E0" w14:paraId="7D9072B5" w14:textId="77777777" w:rsidTr="00042053">
        <w:trPr>
          <w:trHeight w:val="225"/>
        </w:trPr>
        <w:tc>
          <w:tcPr>
            <w:tcW w:w="5854" w:type="dxa"/>
          </w:tcPr>
          <w:p w14:paraId="3117B4C0" w14:textId="77777777" w:rsidR="00E614C0" w:rsidRPr="00B832E0" w:rsidRDefault="00E614C0" w:rsidP="00042053">
            <w:pPr>
              <w:pStyle w:val="TableTextLeft"/>
              <w:rPr>
                <w:rFonts w:eastAsia="Arial"/>
              </w:rPr>
            </w:pPr>
            <w:r w:rsidRPr="00B832E0">
              <w:rPr>
                <w:rFonts w:eastAsia="Arial"/>
              </w:rPr>
              <w:t>Commonwealth Bank of Australia</w:t>
            </w:r>
          </w:p>
        </w:tc>
        <w:tc>
          <w:tcPr>
            <w:tcW w:w="1857" w:type="dxa"/>
          </w:tcPr>
          <w:p w14:paraId="757DFE44" w14:textId="77777777" w:rsidR="00E614C0" w:rsidRPr="00B832E0" w:rsidRDefault="00E614C0" w:rsidP="00042053">
            <w:pPr>
              <w:pStyle w:val="TableTextLeft"/>
              <w:rPr>
                <w:rFonts w:eastAsia="Arial"/>
              </w:rPr>
            </w:pPr>
            <w:r w:rsidRPr="00B832E0">
              <w:rPr>
                <w:rFonts w:eastAsia="Arial"/>
              </w:rPr>
              <w:t>1993 to 1996</w:t>
            </w:r>
          </w:p>
        </w:tc>
      </w:tr>
      <w:tr w:rsidR="00E614C0" w:rsidRPr="00B832E0" w14:paraId="3DB48C8A" w14:textId="77777777" w:rsidTr="00042053">
        <w:trPr>
          <w:trHeight w:val="222"/>
        </w:trPr>
        <w:tc>
          <w:tcPr>
            <w:tcW w:w="5854" w:type="dxa"/>
          </w:tcPr>
          <w:p w14:paraId="298D7B46" w14:textId="77777777" w:rsidR="00E614C0" w:rsidRPr="00B832E0" w:rsidRDefault="00E614C0" w:rsidP="00042053">
            <w:pPr>
              <w:pStyle w:val="TableTextLeft"/>
              <w:rPr>
                <w:rFonts w:eastAsia="Arial"/>
              </w:rPr>
            </w:pPr>
            <w:r w:rsidRPr="00B832E0">
              <w:rPr>
                <w:rFonts w:eastAsia="Arial"/>
              </w:rPr>
              <w:t>Commonwealth Funds Management and Total Risk Management</w:t>
            </w:r>
          </w:p>
        </w:tc>
        <w:tc>
          <w:tcPr>
            <w:tcW w:w="1857" w:type="dxa"/>
          </w:tcPr>
          <w:p w14:paraId="33BEE71A" w14:textId="77777777" w:rsidR="00E614C0" w:rsidRPr="00B832E0" w:rsidRDefault="00E614C0" w:rsidP="00042053">
            <w:pPr>
              <w:pStyle w:val="TableTextLeft"/>
              <w:rPr>
                <w:rFonts w:eastAsia="Arial"/>
              </w:rPr>
            </w:pPr>
            <w:r w:rsidRPr="00B832E0">
              <w:rPr>
                <w:rFonts w:eastAsia="Arial"/>
              </w:rPr>
              <w:t>1996 to 1997</w:t>
            </w:r>
          </w:p>
        </w:tc>
      </w:tr>
      <w:tr w:rsidR="00E614C0" w:rsidRPr="00B832E0" w14:paraId="58903687" w14:textId="77777777" w:rsidTr="00042053">
        <w:trPr>
          <w:trHeight w:val="225"/>
        </w:trPr>
        <w:tc>
          <w:tcPr>
            <w:tcW w:w="5854" w:type="dxa"/>
          </w:tcPr>
          <w:p w14:paraId="52805788" w14:textId="77777777" w:rsidR="00E614C0" w:rsidRPr="00B832E0" w:rsidRDefault="00E614C0" w:rsidP="00042053">
            <w:pPr>
              <w:pStyle w:val="TableTextLeft"/>
              <w:rPr>
                <w:rFonts w:eastAsia="Arial"/>
              </w:rPr>
            </w:pPr>
            <w:r w:rsidRPr="00B832E0">
              <w:rPr>
                <w:rFonts w:eastAsia="Arial"/>
              </w:rPr>
              <w:t>Employment National Ltd</w:t>
            </w:r>
          </w:p>
        </w:tc>
        <w:tc>
          <w:tcPr>
            <w:tcW w:w="1857" w:type="dxa"/>
          </w:tcPr>
          <w:p w14:paraId="20AAEE99" w14:textId="77777777" w:rsidR="00E614C0" w:rsidRPr="00B832E0" w:rsidRDefault="00E614C0" w:rsidP="00042053">
            <w:pPr>
              <w:pStyle w:val="TableTextLeft"/>
              <w:rPr>
                <w:rFonts w:eastAsia="Arial"/>
              </w:rPr>
            </w:pPr>
            <w:r w:rsidRPr="00B832E0">
              <w:rPr>
                <w:rFonts w:eastAsia="Arial"/>
              </w:rPr>
              <w:t>2003</w:t>
            </w:r>
          </w:p>
        </w:tc>
      </w:tr>
      <w:tr w:rsidR="00E614C0" w:rsidRPr="00B832E0" w14:paraId="4191FC0E" w14:textId="77777777" w:rsidTr="00042053">
        <w:trPr>
          <w:trHeight w:val="225"/>
        </w:trPr>
        <w:tc>
          <w:tcPr>
            <w:tcW w:w="5854" w:type="dxa"/>
          </w:tcPr>
          <w:p w14:paraId="2F88B5CE" w14:textId="77777777" w:rsidR="00E614C0" w:rsidRPr="00B832E0" w:rsidRDefault="00E614C0" w:rsidP="00042053">
            <w:pPr>
              <w:pStyle w:val="TableTextLeft"/>
              <w:rPr>
                <w:rFonts w:eastAsia="Arial"/>
              </w:rPr>
            </w:pPr>
            <w:r w:rsidRPr="00B832E0">
              <w:rPr>
                <w:rFonts w:eastAsia="Arial"/>
              </w:rPr>
              <w:t>Essendon Airport Ltd</w:t>
            </w:r>
          </w:p>
        </w:tc>
        <w:tc>
          <w:tcPr>
            <w:tcW w:w="1857" w:type="dxa"/>
          </w:tcPr>
          <w:p w14:paraId="2AB374BB" w14:textId="77777777" w:rsidR="00E614C0" w:rsidRPr="00B832E0" w:rsidRDefault="00E614C0" w:rsidP="00042053">
            <w:pPr>
              <w:pStyle w:val="TableTextLeft"/>
              <w:rPr>
                <w:rFonts w:eastAsia="Arial"/>
              </w:rPr>
            </w:pPr>
            <w:r w:rsidRPr="00B832E0">
              <w:rPr>
                <w:rFonts w:eastAsia="Arial"/>
              </w:rPr>
              <w:t>2001</w:t>
            </w:r>
          </w:p>
        </w:tc>
      </w:tr>
      <w:tr w:rsidR="00E614C0" w:rsidRPr="00B832E0" w14:paraId="4177B995" w14:textId="77777777" w:rsidTr="00042053">
        <w:trPr>
          <w:trHeight w:val="225"/>
        </w:trPr>
        <w:tc>
          <w:tcPr>
            <w:tcW w:w="5854" w:type="dxa"/>
          </w:tcPr>
          <w:p w14:paraId="187F81ED" w14:textId="5FEA4567" w:rsidR="00E614C0" w:rsidRPr="00B832E0" w:rsidRDefault="00E614C0" w:rsidP="00042053">
            <w:pPr>
              <w:pStyle w:val="TableTextLeft"/>
              <w:rPr>
                <w:rFonts w:eastAsia="Arial"/>
              </w:rPr>
            </w:pPr>
            <w:r w:rsidRPr="00B832E0">
              <w:rPr>
                <w:rFonts w:eastAsia="Arial"/>
              </w:rPr>
              <w:t>Federal Airports Corporation</w:t>
            </w:r>
            <w:r w:rsidR="00D737F9">
              <w:rPr>
                <w:rFonts w:eastAsia="Arial"/>
              </w:rPr>
              <w:t>’</w:t>
            </w:r>
            <w:r w:rsidRPr="00B832E0">
              <w:rPr>
                <w:rFonts w:eastAsia="Arial"/>
              </w:rPr>
              <w:t>s Airports</w:t>
            </w:r>
          </w:p>
        </w:tc>
        <w:tc>
          <w:tcPr>
            <w:tcW w:w="1857" w:type="dxa"/>
          </w:tcPr>
          <w:p w14:paraId="6EA81698" w14:textId="77777777" w:rsidR="00E614C0" w:rsidRPr="00B832E0" w:rsidRDefault="00E614C0" w:rsidP="00042053">
            <w:pPr>
              <w:pStyle w:val="TableTextLeft"/>
              <w:rPr>
                <w:rFonts w:eastAsia="Arial"/>
              </w:rPr>
            </w:pPr>
            <w:r w:rsidRPr="00B832E0">
              <w:rPr>
                <w:rFonts w:eastAsia="Arial"/>
              </w:rPr>
              <w:t>1995 to 1997</w:t>
            </w:r>
          </w:p>
        </w:tc>
      </w:tr>
      <w:tr w:rsidR="00E614C0" w:rsidRPr="00B832E0" w14:paraId="5CF16090" w14:textId="77777777" w:rsidTr="00042053">
        <w:trPr>
          <w:trHeight w:val="222"/>
        </w:trPr>
        <w:tc>
          <w:tcPr>
            <w:tcW w:w="5854" w:type="dxa"/>
          </w:tcPr>
          <w:p w14:paraId="2917666B" w14:textId="77777777" w:rsidR="00E614C0" w:rsidRPr="00B832E0" w:rsidRDefault="00E614C0" w:rsidP="00042053">
            <w:pPr>
              <w:pStyle w:val="TableTextLeft"/>
              <w:rPr>
                <w:rFonts w:eastAsia="Arial"/>
              </w:rPr>
            </w:pPr>
            <w:r w:rsidRPr="00B832E0">
              <w:rPr>
                <w:rFonts w:eastAsia="Arial"/>
              </w:rPr>
              <w:t>Health Insurance Commission</w:t>
            </w:r>
          </w:p>
        </w:tc>
        <w:tc>
          <w:tcPr>
            <w:tcW w:w="1857" w:type="dxa"/>
          </w:tcPr>
          <w:p w14:paraId="01C0CFD2" w14:textId="77777777" w:rsidR="00E614C0" w:rsidRPr="00B832E0" w:rsidRDefault="00E614C0" w:rsidP="00042053">
            <w:pPr>
              <w:pStyle w:val="TableTextLeft"/>
              <w:rPr>
                <w:rFonts w:eastAsia="Arial"/>
              </w:rPr>
            </w:pPr>
            <w:r w:rsidRPr="00B832E0">
              <w:rPr>
                <w:rFonts w:eastAsia="Arial"/>
              </w:rPr>
              <w:t>2000</w:t>
            </w:r>
          </w:p>
        </w:tc>
      </w:tr>
      <w:tr w:rsidR="00E614C0" w:rsidRPr="00B832E0" w14:paraId="57133297" w14:textId="77777777" w:rsidTr="00042053">
        <w:trPr>
          <w:trHeight w:val="225"/>
        </w:trPr>
        <w:tc>
          <w:tcPr>
            <w:tcW w:w="5854" w:type="dxa"/>
          </w:tcPr>
          <w:p w14:paraId="331253C6" w14:textId="77777777" w:rsidR="00E614C0" w:rsidRPr="00B832E0" w:rsidRDefault="00E614C0" w:rsidP="00042053">
            <w:pPr>
              <w:pStyle w:val="TableTextLeft"/>
              <w:rPr>
                <w:rFonts w:eastAsia="Arial"/>
              </w:rPr>
            </w:pPr>
            <w:r w:rsidRPr="00B832E0">
              <w:rPr>
                <w:rFonts w:eastAsia="Arial"/>
              </w:rPr>
              <w:t>Housing Loans Insurance Corporation Ltd</w:t>
            </w:r>
          </w:p>
        </w:tc>
        <w:tc>
          <w:tcPr>
            <w:tcW w:w="1857" w:type="dxa"/>
          </w:tcPr>
          <w:p w14:paraId="6124AD24" w14:textId="77777777" w:rsidR="00E614C0" w:rsidRPr="00B832E0" w:rsidRDefault="00E614C0" w:rsidP="00042053">
            <w:pPr>
              <w:pStyle w:val="TableTextLeft"/>
              <w:rPr>
                <w:rFonts w:eastAsia="Arial"/>
              </w:rPr>
            </w:pPr>
            <w:r w:rsidRPr="00B832E0">
              <w:rPr>
                <w:rFonts w:eastAsia="Arial"/>
              </w:rPr>
              <w:t>1996</w:t>
            </w:r>
          </w:p>
        </w:tc>
      </w:tr>
      <w:tr w:rsidR="00E614C0" w:rsidRPr="00B832E0" w14:paraId="450CD360" w14:textId="77777777" w:rsidTr="00042053">
        <w:trPr>
          <w:trHeight w:val="225"/>
        </w:trPr>
        <w:tc>
          <w:tcPr>
            <w:tcW w:w="5854" w:type="dxa"/>
          </w:tcPr>
          <w:p w14:paraId="1688B601" w14:textId="77777777" w:rsidR="00E614C0" w:rsidRPr="00B832E0" w:rsidRDefault="00E614C0" w:rsidP="00042053">
            <w:pPr>
              <w:pStyle w:val="TableTextLeft"/>
              <w:rPr>
                <w:rFonts w:eastAsia="Arial"/>
              </w:rPr>
            </w:pPr>
            <w:r w:rsidRPr="00B832E0">
              <w:rPr>
                <w:rFonts w:eastAsia="Arial"/>
              </w:rPr>
              <w:t>Hoxton Park Airport Limited</w:t>
            </w:r>
          </w:p>
        </w:tc>
        <w:tc>
          <w:tcPr>
            <w:tcW w:w="1857" w:type="dxa"/>
          </w:tcPr>
          <w:p w14:paraId="15BB1477" w14:textId="77777777" w:rsidR="00E614C0" w:rsidRPr="00B832E0" w:rsidRDefault="00E614C0" w:rsidP="00042053">
            <w:pPr>
              <w:pStyle w:val="TableTextLeft"/>
              <w:rPr>
                <w:rFonts w:eastAsia="Arial"/>
              </w:rPr>
            </w:pPr>
            <w:r w:rsidRPr="00B832E0">
              <w:rPr>
                <w:rFonts w:eastAsia="Arial"/>
              </w:rPr>
              <w:t>2002</w:t>
            </w:r>
          </w:p>
        </w:tc>
      </w:tr>
      <w:tr w:rsidR="00E614C0" w:rsidRPr="00B832E0" w14:paraId="0A11852F" w14:textId="77777777" w:rsidTr="00042053">
        <w:trPr>
          <w:trHeight w:val="223"/>
        </w:trPr>
        <w:tc>
          <w:tcPr>
            <w:tcW w:w="5854" w:type="dxa"/>
          </w:tcPr>
          <w:p w14:paraId="1815E1EB" w14:textId="77777777" w:rsidR="00E614C0" w:rsidRPr="00B832E0" w:rsidRDefault="00E614C0" w:rsidP="00042053">
            <w:pPr>
              <w:pStyle w:val="TableTextLeft"/>
              <w:rPr>
                <w:rFonts w:eastAsia="Arial"/>
              </w:rPr>
            </w:pPr>
            <w:r w:rsidRPr="00B832E0">
              <w:rPr>
                <w:rFonts w:eastAsia="Arial"/>
              </w:rPr>
              <w:t>Medibank Private Limited</w:t>
            </w:r>
          </w:p>
        </w:tc>
        <w:tc>
          <w:tcPr>
            <w:tcW w:w="1857" w:type="dxa"/>
          </w:tcPr>
          <w:p w14:paraId="1A88B842" w14:textId="77777777" w:rsidR="00E614C0" w:rsidRPr="00B832E0" w:rsidRDefault="00E614C0" w:rsidP="00042053">
            <w:pPr>
              <w:pStyle w:val="TableTextLeft"/>
              <w:rPr>
                <w:rFonts w:eastAsia="Arial"/>
              </w:rPr>
            </w:pPr>
            <w:r w:rsidRPr="00B832E0">
              <w:rPr>
                <w:rFonts w:eastAsia="Arial"/>
              </w:rPr>
              <w:t>2014</w:t>
            </w:r>
          </w:p>
        </w:tc>
      </w:tr>
      <w:tr w:rsidR="00E614C0" w:rsidRPr="00B832E0" w14:paraId="30A5E3AB" w14:textId="77777777" w:rsidTr="00042053">
        <w:trPr>
          <w:trHeight w:val="225"/>
        </w:trPr>
        <w:tc>
          <w:tcPr>
            <w:tcW w:w="5854" w:type="dxa"/>
          </w:tcPr>
          <w:p w14:paraId="5D2F214E" w14:textId="77777777" w:rsidR="00E614C0" w:rsidRPr="00B832E0" w:rsidRDefault="00E614C0" w:rsidP="00042053">
            <w:pPr>
              <w:pStyle w:val="TableTextLeft"/>
              <w:rPr>
                <w:rFonts w:eastAsia="Arial"/>
              </w:rPr>
            </w:pPr>
            <w:r w:rsidRPr="00B832E0">
              <w:rPr>
                <w:rFonts w:eastAsia="Arial"/>
              </w:rPr>
              <w:t>National Transmission Network</w:t>
            </w:r>
          </w:p>
        </w:tc>
        <w:tc>
          <w:tcPr>
            <w:tcW w:w="1857" w:type="dxa"/>
          </w:tcPr>
          <w:p w14:paraId="741DA73E" w14:textId="77777777" w:rsidR="00E614C0" w:rsidRPr="00B832E0" w:rsidRDefault="00E614C0" w:rsidP="00042053">
            <w:pPr>
              <w:pStyle w:val="TableTextLeft"/>
              <w:rPr>
                <w:rFonts w:eastAsia="Arial"/>
              </w:rPr>
            </w:pPr>
            <w:r w:rsidRPr="00B832E0">
              <w:rPr>
                <w:rFonts w:eastAsia="Arial"/>
              </w:rPr>
              <w:t>1999</w:t>
            </w:r>
          </w:p>
        </w:tc>
      </w:tr>
      <w:tr w:rsidR="00E614C0" w:rsidRPr="00B832E0" w14:paraId="7367AB25" w14:textId="77777777" w:rsidTr="00042053">
        <w:trPr>
          <w:trHeight w:val="225"/>
        </w:trPr>
        <w:tc>
          <w:tcPr>
            <w:tcW w:w="5854" w:type="dxa"/>
          </w:tcPr>
          <w:p w14:paraId="671BF18F" w14:textId="77777777" w:rsidR="00E614C0" w:rsidRPr="00B832E0" w:rsidRDefault="00E614C0" w:rsidP="00042053">
            <w:pPr>
              <w:pStyle w:val="TableTextLeft"/>
              <w:rPr>
                <w:rFonts w:eastAsia="Arial"/>
              </w:rPr>
            </w:pPr>
            <w:r w:rsidRPr="00B832E0">
              <w:rPr>
                <w:rFonts w:eastAsia="Arial"/>
              </w:rPr>
              <w:t>Sydney Airports Corporation Ltd</w:t>
            </w:r>
          </w:p>
        </w:tc>
        <w:tc>
          <w:tcPr>
            <w:tcW w:w="1857" w:type="dxa"/>
          </w:tcPr>
          <w:p w14:paraId="360EDE01" w14:textId="77777777" w:rsidR="00E614C0" w:rsidRPr="00B832E0" w:rsidRDefault="00E614C0" w:rsidP="00042053">
            <w:pPr>
              <w:pStyle w:val="TableTextLeft"/>
              <w:rPr>
                <w:rFonts w:eastAsia="Arial"/>
              </w:rPr>
            </w:pPr>
            <w:r w:rsidRPr="00B832E0">
              <w:rPr>
                <w:rFonts w:eastAsia="Arial"/>
              </w:rPr>
              <w:t>2001</w:t>
            </w:r>
          </w:p>
        </w:tc>
      </w:tr>
      <w:tr w:rsidR="00E614C0" w:rsidRPr="00B832E0" w14:paraId="5794C812" w14:textId="77777777" w:rsidTr="00042053">
        <w:trPr>
          <w:trHeight w:val="225"/>
        </w:trPr>
        <w:tc>
          <w:tcPr>
            <w:tcW w:w="5854" w:type="dxa"/>
          </w:tcPr>
          <w:p w14:paraId="6B1DA206" w14:textId="77777777" w:rsidR="00E614C0" w:rsidRPr="00B832E0" w:rsidRDefault="00E614C0" w:rsidP="00042053">
            <w:pPr>
              <w:pStyle w:val="TableTextLeft"/>
              <w:rPr>
                <w:rFonts w:eastAsia="Arial"/>
              </w:rPr>
            </w:pPr>
            <w:r w:rsidRPr="00B832E0">
              <w:rPr>
                <w:rFonts w:eastAsia="Arial"/>
              </w:rPr>
              <w:t>Telstra</w:t>
            </w:r>
          </w:p>
        </w:tc>
        <w:tc>
          <w:tcPr>
            <w:tcW w:w="1857" w:type="dxa"/>
          </w:tcPr>
          <w:p w14:paraId="6ADDBC7C" w14:textId="77777777" w:rsidR="00E614C0" w:rsidRPr="00B832E0" w:rsidRDefault="00E614C0" w:rsidP="00042053">
            <w:pPr>
              <w:pStyle w:val="TableTextLeft"/>
              <w:rPr>
                <w:rFonts w:eastAsia="Arial"/>
              </w:rPr>
            </w:pPr>
            <w:r w:rsidRPr="00B832E0">
              <w:rPr>
                <w:rFonts w:eastAsia="Arial"/>
              </w:rPr>
              <w:t>1996, 1999 and 2006</w:t>
            </w:r>
          </w:p>
        </w:tc>
      </w:tr>
      <w:tr w:rsidR="00E614C0" w:rsidRPr="00B832E0" w14:paraId="1DECC79E" w14:textId="77777777" w:rsidTr="00042053">
        <w:trPr>
          <w:trHeight w:val="222"/>
        </w:trPr>
        <w:tc>
          <w:tcPr>
            <w:tcW w:w="5854" w:type="dxa"/>
          </w:tcPr>
          <w:p w14:paraId="01CC5174" w14:textId="77777777" w:rsidR="00E614C0" w:rsidRPr="00B832E0" w:rsidRDefault="00E614C0" w:rsidP="00042053">
            <w:pPr>
              <w:pStyle w:val="TableTextLeft"/>
              <w:rPr>
                <w:rFonts w:eastAsia="Arial"/>
              </w:rPr>
            </w:pPr>
            <w:r w:rsidRPr="00B832E0">
              <w:rPr>
                <w:rFonts w:eastAsia="Arial"/>
              </w:rPr>
              <w:t>Wool International</w:t>
            </w:r>
          </w:p>
        </w:tc>
        <w:tc>
          <w:tcPr>
            <w:tcW w:w="1857" w:type="dxa"/>
          </w:tcPr>
          <w:p w14:paraId="165D8CBC" w14:textId="77777777" w:rsidR="00E614C0" w:rsidRPr="00B832E0" w:rsidRDefault="00E614C0" w:rsidP="00042053">
            <w:pPr>
              <w:pStyle w:val="TableTextLeft"/>
              <w:rPr>
                <w:rFonts w:eastAsia="Arial"/>
              </w:rPr>
            </w:pPr>
            <w:r w:rsidRPr="00B832E0">
              <w:rPr>
                <w:rFonts w:eastAsia="Arial"/>
              </w:rPr>
              <w:t>1999</w:t>
            </w:r>
          </w:p>
        </w:tc>
      </w:tr>
    </w:tbl>
    <w:p w14:paraId="1FB2AF2C" w14:textId="77777777" w:rsidR="00E614C0" w:rsidRPr="006037BD" w:rsidRDefault="00E614C0" w:rsidP="006037BD">
      <w:r w:rsidRPr="006037BD">
        <w:br w:type="page"/>
      </w:r>
    </w:p>
    <w:p w14:paraId="13ABE3D8" w14:textId="77777777" w:rsidR="009D70F5" w:rsidRPr="00B832E0" w:rsidRDefault="009D70F5" w:rsidP="001078E4">
      <w:pPr>
        <w:pStyle w:val="Heading2"/>
      </w:pPr>
      <w:bookmarkStart w:id="91" w:name="_Toc166165508"/>
      <w:r w:rsidRPr="00B832E0">
        <w:lastRenderedPageBreak/>
        <w:t>Foreign Affairs and Trade</w:t>
      </w:r>
      <w:bookmarkEnd w:id="77"/>
      <w:bookmarkEnd w:id="91"/>
    </w:p>
    <w:p w14:paraId="238F6EB3" w14:textId="77777777" w:rsidR="002C29CC" w:rsidRPr="00B832E0" w:rsidRDefault="002C29CC" w:rsidP="001078E4">
      <w:pPr>
        <w:pStyle w:val="Heading3"/>
      </w:pPr>
      <w:bookmarkStart w:id="92" w:name="_Toc71117807"/>
      <w:bookmarkStart w:id="93" w:name="_Toc99141869"/>
      <w:bookmarkStart w:id="94" w:name="_Toc166165509"/>
      <w:r w:rsidRPr="00B832E0">
        <w:t>Fiscal Risk</w:t>
      </w:r>
      <w:bookmarkEnd w:id="92"/>
      <w:bookmarkEnd w:id="93"/>
      <w:bookmarkEnd w:id="94"/>
    </w:p>
    <w:p w14:paraId="50968D83" w14:textId="77777777" w:rsidR="002C29CC" w:rsidRPr="00B35882" w:rsidRDefault="002C29CC" w:rsidP="001078E4">
      <w:pPr>
        <w:pStyle w:val="Heading4"/>
        <w:rPr>
          <w:rFonts w:eastAsia="Arial"/>
          <w:lang w:val="en-US"/>
        </w:rPr>
      </w:pPr>
      <w:bookmarkStart w:id="95" w:name="_Toc71117808"/>
      <w:bookmarkStart w:id="96" w:name="_Toc71117811"/>
      <w:bookmarkStart w:id="97" w:name="_Toc99141870"/>
      <w:r w:rsidRPr="00B35882">
        <w:rPr>
          <w:rFonts w:eastAsia="Arial"/>
          <w:lang w:val="en-US"/>
        </w:rPr>
        <w:t xml:space="preserve">Export Finance Australia </w:t>
      </w:r>
      <w:r>
        <w:rPr>
          <w:rFonts w:eastAsia="Calibri"/>
        </w:rPr>
        <w:t>–</w:t>
      </w:r>
      <w:r w:rsidRPr="00B35882">
        <w:rPr>
          <w:rFonts w:eastAsia="Arial"/>
          <w:lang w:val="en-US"/>
        </w:rPr>
        <w:t xml:space="preserve"> National Interest Account</w:t>
      </w:r>
      <w:bookmarkEnd w:id="95"/>
    </w:p>
    <w:p w14:paraId="3ABFB52E" w14:textId="699DDEE9" w:rsidR="002C29CC" w:rsidRPr="00A0385E" w:rsidRDefault="002C29CC" w:rsidP="00DE75FF">
      <w:r w:rsidRPr="00A0385E">
        <w:t>There are five financing facilities under Export Finance Australia</w:t>
      </w:r>
      <w:r w:rsidR="00D737F9">
        <w:t>’</w:t>
      </w:r>
      <w:r w:rsidRPr="00A0385E">
        <w:t xml:space="preserve">s National Interest Account, set out below. </w:t>
      </w:r>
    </w:p>
    <w:p w14:paraId="67967056" w14:textId="59372778" w:rsidR="002C29CC" w:rsidRPr="0054008B" w:rsidRDefault="002C29CC" w:rsidP="001078E4">
      <w:pPr>
        <w:pStyle w:val="Bullet"/>
        <w:ind w:left="283" w:hanging="283"/>
      </w:pPr>
      <w:r w:rsidRPr="0054008B">
        <w:t>The Australian Infrastructure Financing Facility for the Pacific (AIFFP) started operation on 1</w:t>
      </w:r>
      <w:r w:rsidR="00D9795C">
        <w:t> July </w:t>
      </w:r>
      <w:r w:rsidRPr="0054008B">
        <w:t>2019. The AIFFP can provide up to $4</w:t>
      </w:r>
      <w:r w:rsidR="0023629A">
        <w:t> </w:t>
      </w:r>
      <w:r w:rsidRPr="0054008B">
        <w:t>billion in facilities, including up to $1</w:t>
      </w:r>
      <w:r>
        <w:t> </w:t>
      </w:r>
      <w:r w:rsidRPr="00BA102F">
        <w:t>billion in grants and the balance in loans and guarantees, to support high priority infrastructure development in Pacific countries and Timor</w:t>
      </w:r>
      <w:r w:rsidR="00D737F9">
        <w:noBreakHyphen/>
      </w:r>
      <w:r w:rsidRPr="00BA102F">
        <w:t xml:space="preserve">Leste. To date, the </w:t>
      </w:r>
      <w:r w:rsidR="001F3211">
        <w:t>Australian Government</w:t>
      </w:r>
      <w:r w:rsidRPr="00BA102F">
        <w:t xml:space="preserve"> has agreed to provide loans, guarantees and grants to support the development of 19 infrastructure projects in ten countries. As at </w:t>
      </w:r>
      <w:r w:rsidRPr="0054008B">
        <w:t>29</w:t>
      </w:r>
      <w:r w:rsidR="00D9795C">
        <w:t> February </w:t>
      </w:r>
      <w:r w:rsidRPr="0054008B">
        <w:t>2024, the maximum loan exposure is $1.1</w:t>
      </w:r>
      <w:r w:rsidR="0023629A">
        <w:t> billion</w:t>
      </w:r>
      <w:r w:rsidRPr="0054008B">
        <w:t>, of which $262.7 million is estimated to be drawn down by 30 June 2024.</w:t>
      </w:r>
    </w:p>
    <w:p w14:paraId="11609027" w14:textId="5E572A73" w:rsidR="002C29CC" w:rsidRPr="0054008B" w:rsidRDefault="002C29CC" w:rsidP="001078E4">
      <w:pPr>
        <w:pStyle w:val="Bullet"/>
        <w:ind w:left="283" w:hanging="283"/>
      </w:pPr>
      <w:r w:rsidRPr="0054008B">
        <w:t>The Critical Minerals Facility (CMF) was established on 28 September 2021 to provide finance to critical minerals projects in Australia where private sector finance is unavailable or insufficient. In the 2023–24 MYEFO, the Government expanded the CMF</w:t>
      </w:r>
      <w:r w:rsidR="001A716D">
        <w:t> </w:t>
      </w:r>
      <w:r w:rsidRPr="0054008B">
        <w:t>by $2.0</w:t>
      </w:r>
      <w:r w:rsidR="0023629A">
        <w:t> billion</w:t>
      </w:r>
      <w:r w:rsidRPr="0054008B">
        <w:t xml:space="preserve"> for a maximum aggregate exposure of $4.0</w:t>
      </w:r>
      <w:r w:rsidR="0023629A">
        <w:t> billion</w:t>
      </w:r>
      <w:r w:rsidRPr="0054008B">
        <w:t xml:space="preserve">. </w:t>
      </w:r>
      <w:r w:rsidRPr="00C6243B">
        <w:t xml:space="preserve">To date, the Government has agreed to provide a total of </w:t>
      </w:r>
      <w:r w:rsidRPr="0054008B">
        <w:t>approximately $2.15</w:t>
      </w:r>
      <w:r w:rsidR="0023629A">
        <w:t> billion</w:t>
      </w:r>
      <w:r w:rsidRPr="0054008B">
        <w:t xml:space="preserve"> to support five projects under the facility. As at 30</w:t>
      </w:r>
      <w:r w:rsidR="0023629A">
        <w:t> June </w:t>
      </w:r>
      <w:r w:rsidRPr="0054008B">
        <w:t>2024, $145.9 million is estimated to be drawn down from the CMF.</w:t>
      </w:r>
    </w:p>
    <w:p w14:paraId="4086D3C7" w14:textId="2F483EC3" w:rsidR="002C29CC" w:rsidRPr="001F156B" w:rsidRDefault="002C29CC" w:rsidP="001078E4">
      <w:pPr>
        <w:pStyle w:val="Bullet"/>
        <w:ind w:left="283" w:hanging="283"/>
      </w:pPr>
      <w:r w:rsidRPr="0054008B">
        <w:t>The Defence Export Facility (DEF) was established to grow Australia</w:t>
      </w:r>
      <w:r w:rsidR="00D737F9">
        <w:t>’</w:t>
      </w:r>
      <w:r w:rsidRPr="0054008B">
        <w:t>s defence exports by helping to overcome difficulties in accessing private sector finance. The DEF has a maximum aggregate exposure of US$3.0</w:t>
      </w:r>
      <w:r w:rsidR="0023629A">
        <w:t> billion</w:t>
      </w:r>
      <w:r w:rsidRPr="0054008B">
        <w:t>. To date, three loans under the DEF have been agreed for a total signing value of A$228 million. As at 30</w:t>
      </w:r>
      <w:r w:rsidR="0023629A">
        <w:t> June </w:t>
      </w:r>
      <w:r w:rsidRPr="0054008B">
        <w:t>2024, A$172.9</w:t>
      </w:r>
      <w:r>
        <w:t> </w:t>
      </w:r>
      <w:r w:rsidRPr="001F156B">
        <w:t>million is estimated to be outstanding.</w:t>
      </w:r>
    </w:p>
    <w:p w14:paraId="0F774832" w14:textId="3E06E0CB" w:rsidR="002C29CC" w:rsidRPr="001F156B" w:rsidRDefault="002C29CC" w:rsidP="001078E4">
      <w:pPr>
        <w:pStyle w:val="Bullet"/>
        <w:ind w:left="283" w:hanging="283"/>
      </w:pPr>
      <w:r w:rsidRPr="001F156B">
        <w:t>The COVID</w:t>
      </w:r>
      <w:r w:rsidR="00D737F9">
        <w:noBreakHyphen/>
      </w:r>
      <w:r w:rsidRPr="001F156B">
        <w:t>19 Export Capital Facility was announced on 15</w:t>
      </w:r>
      <w:r w:rsidR="00D9795C">
        <w:t> April </w:t>
      </w:r>
      <w:r w:rsidRPr="001F156B">
        <w:t>2020, with a maximum aggregate exposure of $500 million. The COVID</w:t>
      </w:r>
      <w:r w:rsidR="00D737F9">
        <w:noBreakHyphen/>
      </w:r>
      <w:r w:rsidRPr="001F156B">
        <w:t>19 Export Capital Facility expired in</w:t>
      </w:r>
      <w:r w:rsidR="00D9795C">
        <w:t> April </w:t>
      </w:r>
      <w:r w:rsidRPr="001F156B">
        <w:t>2021. As at 30</w:t>
      </w:r>
      <w:r w:rsidR="0023629A">
        <w:t> June </w:t>
      </w:r>
      <w:r w:rsidRPr="001F156B">
        <w:t>2024, $1.5 million is estimated to be outstanding.</w:t>
      </w:r>
    </w:p>
    <w:p w14:paraId="6E1963E7" w14:textId="6DF94FA2" w:rsidR="002C29CC" w:rsidRPr="001F156B" w:rsidRDefault="002C29CC" w:rsidP="001078E4">
      <w:pPr>
        <w:pStyle w:val="Bullet"/>
        <w:ind w:left="283" w:hanging="283"/>
      </w:pPr>
      <w:r w:rsidRPr="001F156B">
        <w:t>The Southeast Asia Investment Financing Facility (SEAIFF) was announced on 5</w:t>
      </w:r>
      <w:r w:rsidR="00D9795C">
        <w:t> March </w:t>
      </w:r>
      <w:r w:rsidRPr="001F156B">
        <w:t>2024. The SEAIFF will provide up to $2.0</w:t>
      </w:r>
      <w:r w:rsidR="0023629A">
        <w:t> billion</w:t>
      </w:r>
      <w:r w:rsidRPr="001F156B">
        <w:t xml:space="preserve"> in loans, guarantees, equity and insurance for projects that would boost Australian trade and investment in Southeast Asia, particularly in support of the region</w:t>
      </w:r>
      <w:r w:rsidR="00D737F9">
        <w:t>’</w:t>
      </w:r>
      <w:r w:rsidRPr="001F156B">
        <w:t>s clean energy transition and infrastructure development. To date, no funds have been committed under the SEAIFF.</w:t>
      </w:r>
    </w:p>
    <w:p w14:paraId="5F1A8888" w14:textId="7A8E40ED" w:rsidR="002C29CC" w:rsidRDefault="00ED24ED" w:rsidP="001078E4">
      <w:r w:rsidRPr="00CC5694">
        <w:t xml:space="preserve">The Government has also agreed to amend the </w:t>
      </w:r>
      <w:r w:rsidRPr="00CC5694">
        <w:rPr>
          <w:rStyle w:val="Emphasis"/>
        </w:rPr>
        <w:t>Export Finance and Insurance Corporation Act 1991</w:t>
      </w:r>
      <w:r w:rsidRPr="00CC5694">
        <w:t xml:space="preserve"> to enable Export Finance Australia to finance domestic projects in the national interest</w:t>
      </w:r>
      <w:r w:rsidR="00483282" w:rsidRPr="00CC5694">
        <w:t xml:space="preserve"> where they are</w:t>
      </w:r>
      <w:r w:rsidRPr="00CC5694">
        <w:t xml:space="preserve"> consistent with the Future Made in Australia </w:t>
      </w:r>
      <w:r w:rsidR="00483282" w:rsidRPr="00CC5694">
        <w:t>Framework</w:t>
      </w:r>
      <w:r w:rsidRPr="00CC5694">
        <w:t>. The Government will be able to consider supporting projects on the National Interest Account through financing including debt or equity, where projects are unable to progress solely through commercial financing.</w:t>
      </w:r>
    </w:p>
    <w:p w14:paraId="17F4ADBD" w14:textId="77777777" w:rsidR="002C29CC" w:rsidRPr="00B832E0" w:rsidRDefault="002C29CC" w:rsidP="001078E4">
      <w:pPr>
        <w:pStyle w:val="Heading3"/>
      </w:pPr>
      <w:bookmarkStart w:id="98" w:name="_Toc166165510"/>
      <w:r w:rsidRPr="00B832E0">
        <w:lastRenderedPageBreak/>
        <w:t>Contingent liability – quantifiable</w:t>
      </w:r>
      <w:bookmarkEnd w:id="96"/>
      <w:bookmarkEnd w:id="97"/>
      <w:bookmarkEnd w:id="98"/>
    </w:p>
    <w:p w14:paraId="20B9E775" w14:textId="77777777" w:rsidR="002C29CC" w:rsidRPr="00620CE6" w:rsidRDefault="002C29CC" w:rsidP="001078E4">
      <w:pPr>
        <w:pStyle w:val="Heading4"/>
        <w:rPr>
          <w:rFonts w:eastAsia="Arial"/>
        </w:rPr>
      </w:pPr>
      <w:bookmarkStart w:id="99" w:name="_Toc71117812"/>
      <w:r w:rsidRPr="00620CE6">
        <w:rPr>
          <w:rFonts w:eastAsia="Arial"/>
        </w:rPr>
        <w:t>Export Finance Australia</w:t>
      </w:r>
      <w:bookmarkEnd w:id="99"/>
    </w:p>
    <w:p w14:paraId="16F12509" w14:textId="007F48C5" w:rsidR="002C29CC" w:rsidRPr="00802E71" w:rsidRDefault="002C29CC" w:rsidP="00CE6FF1">
      <w:r>
        <w:t>The Australian Government guarantees the due payment of money that is, or may at any time become, payable by Export Finance Australia to anyone other than the Government. As at 29</w:t>
      </w:r>
      <w:r w:rsidR="00D9795C">
        <w:t> February </w:t>
      </w:r>
      <w:r>
        <w:t>2024, the Government</w:t>
      </w:r>
      <w:r w:rsidR="00D737F9">
        <w:t>’</w:t>
      </w:r>
      <w:r>
        <w:t>s total contingent liability was $6.4</w:t>
      </w:r>
      <w:r w:rsidR="0023629A">
        <w:t> </w:t>
      </w:r>
      <w:r>
        <w:t>billion, comprising Export Finance Australia</w:t>
      </w:r>
      <w:r w:rsidR="00D737F9">
        <w:t>’</w:t>
      </w:r>
      <w:r>
        <w:t>s liabilities to third parties ($5.3</w:t>
      </w:r>
      <w:r w:rsidR="0023629A">
        <w:t> </w:t>
      </w:r>
      <w:r>
        <w:t>billion) and Export Finance Australia</w:t>
      </w:r>
      <w:r w:rsidR="00D737F9">
        <w:t>’</w:t>
      </w:r>
      <w:r>
        <w:t>s overseas investment insurance, contracts of insurance and guarantees ($1.1</w:t>
      </w:r>
      <w:r w:rsidR="0023629A">
        <w:t> billion</w:t>
      </w:r>
      <w:r>
        <w:t>). Of the total contingent liability, $2.6</w:t>
      </w:r>
      <w:r w:rsidR="0023629A">
        <w:t> billion</w:t>
      </w:r>
      <w:r>
        <w:t xml:space="preserve"> relates to Export Finance Australia</w:t>
      </w:r>
      <w:r w:rsidR="00D737F9">
        <w:t>’</w:t>
      </w:r>
      <w:r>
        <w:t>s Commercial Account and $3.8</w:t>
      </w:r>
      <w:r w:rsidR="0023629A">
        <w:t> billion</w:t>
      </w:r>
      <w:r>
        <w:t xml:space="preserve"> relates to the National Interest Account.</w:t>
      </w:r>
    </w:p>
    <w:p w14:paraId="4DE490D2" w14:textId="5C00BE3F" w:rsidR="009D70F5" w:rsidRPr="00B832E0" w:rsidRDefault="009D70F5" w:rsidP="001A716D">
      <w:r w:rsidRPr="00B832E0">
        <w:br w:type="page"/>
      </w:r>
    </w:p>
    <w:p w14:paraId="54949FBB" w14:textId="77777777" w:rsidR="009D70F5" w:rsidRPr="00B832E0" w:rsidRDefault="009D70F5" w:rsidP="001078E4">
      <w:pPr>
        <w:pStyle w:val="Heading2"/>
      </w:pPr>
      <w:bookmarkStart w:id="100" w:name="_Toc99141871"/>
      <w:bookmarkStart w:id="101" w:name="_Toc166165511"/>
      <w:r w:rsidRPr="00B832E0">
        <w:lastRenderedPageBreak/>
        <w:t>Health</w:t>
      </w:r>
      <w:bookmarkEnd w:id="100"/>
      <w:r w:rsidRPr="00B832E0">
        <w:t xml:space="preserve"> and Aged Care</w:t>
      </w:r>
      <w:bookmarkEnd w:id="101"/>
    </w:p>
    <w:p w14:paraId="12E69E22" w14:textId="77777777" w:rsidR="003F39AD" w:rsidRPr="00B832E0" w:rsidRDefault="003F39AD" w:rsidP="001078E4">
      <w:pPr>
        <w:pStyle w:val="Heading3"/>
      </w:pPr>
      <w:bookmarkStart w:id="102" w:name="_Toc166165512"/>
      <w:bookmarkStart w:id="103" w:name="_Toc99141874"/>
      <w:r w:rsidRPr="00B832E0">
        <w:t>Fiscal Risk</w:t>
      </w:r>
      <w:bookmarkEnd w:id="102"/>
    </w:p>
    <w:p w14:paraId="344D2F05" w14:textId="77777777" w:rsidR="003F39AD" w:rsidRPr="00B832E0" w:rsidRDefault="003F39AD" w:rsidP="001078E4">
      <w:pPr>
        <w:pStyle w:val="Heading4"/>
      </w:pPr>
      <w:r w:rsidRPr="00B832E0">
        <w:t>Fair Work Commission decision – Aged Care Work Value Case</w:t>
      </w:r>
    </w:p>
    <w:p w14:paraId="1011988A" w14:textId="2A894A03" w:rsidR="003F39AD" w:rsidRPr="00626C68" w:rsidRDefault="003F39AD" w:rsidP="00CE6FF1">
      <w:pPr>
        <w:rPr>
          <w:rFonts w:eastAsia="Arial"/>
          <w:b/>
          <w:bCs/>
          <w:sz w:val="20"/>
          <w:lang w:val="en-US"/>
        </w:rPr>
      </w:pPr>
      <w:r w:rsidRPr="00A61D6A">
        <w:t xml:space="preserve">As the principal funder of the aged care sector, the </w:t>
      </w:r>
      <w:r w:rsidR="001F3211">
        <w:t>Australian Government</w:t>
      </w:r>
      <w:r w:rsidRPr="00A61D6A">
        <w:t xml:space="preserve"> has committed to provide funding to support any increases to award wages from the Aged Care Work Value case that is currently before the Fair Work Commission.</w:t>
      </w:r>
      <w:r w:rsidRPr="007B5C53">
        <w:t xml:space="preserve"> </w:t>
      </w:r>
      <w:r w:rsidRPr="00A8566D">
        <w:t>On 15</w:t>
      </w:r>
      <w:r w:rsidR="00D9795C">
        <w:t> March </w:t>
      </w:r>
      <w:r w:rsidRPr="00A8566D">
        <w:t>2024, the Fair</w:t>
      </w:r>
      <w:r w:rsidR="001A716D">
        <w:t> </w:t>
      </w:r>
      <w:r w:rsidRPr="00A8566D">
        <w:t>Work Commission made a decision on Stage 3 of the Aged Care Work Value case. The</w:t>
      </w:r>
      <w:r w:rsidR="001A716D">
        <w:t> </w:t>
      </w:r>
      <w:r w:rsidRPr="00A8566D">
        <w:t>operative date and phasing in of the variations to award wages are subject to further consideration by the Fair Work Commission.</w:t>
      </w:r>
      <w:r w:rsidRPr="00A61D6A">
        <w:t xml:space="preserve"> </w:t>
      </w:r>
      <w:bookmarkStart w:id="104" w:name="_Toc71117813"/>
      <w:bookmarkStart w:id="105" w:name="_Toc99141872"/>
    </w:p>
    <w:p w14:paraId="0E15AD6E" w14:textId="77777777" w:rsidR="003F39AD" w:rsidRPr="00B832E0" w:rsidRDefault="003F39AD" w:rsidP="001078E4">
      <w:pPr>
        <w:pStyle w:val="Heading3"/>
      </w:pPr>
      <w:bookmarkStart w:id="106" w:name="_Toc166165513"/>
      <w:r w:rsidRPr="00B832E0">
        <w:t>Contingent liabilities – unquantifiable</w:t>
      </w:r>
      <w:bookmarkEnd w:id="104"/>
      <w:bookmarkEnd w:id="105"/>
      <w:bookmarkEnd w:id="106"/>
    </w:p>
    <w:p w14:paraId="70AB1522" w14:textId="77777777" w:rsidR="003F39AD" w:rsidRPr="00B832E0" w:rsidRDefault="003F39AD" w:rsidP="001078E4">
      <w:pPr>
        <w:pStyle w:val="Heading4"/>
      </w:pPr>
      <w:bookmarkStart w:id="107" w:name="_Toc71117814"/>
      <w:bookmarkStart w:id="108" w:name="_Toc71117815"/>
      <w:r w:rsidRPr="00B832E0">
        <w:t>Accommodation Payment Guarantee Scheme</w:t>
      </w:r>
      <w:bookmarkEnd w:id="107"/>
    </w:p>
    <w:p w14:paraId="6E56BC70" w14:textId="52F28929" w:rsidR="003F39AD" w:rsidRPr="00C02198" w:rsidRDefault="003F39AD" w:rsidP="001078E4">
      <w:pPr>
        <w:rPr>
          <w:rFonts w:eastAsia="Book Antiqua"/>
        </w:rPr>
      </w:pPr>
      <w:r>
        <w:t>The Accommodation Payment Guarantee Scheme guarantees the repayment of aged care residents</w:t>
      </w:r>
      <w:r w:rsidR="00D737F9">
        <w:t>’</w:t>
      </w:r>
      <w:r>
        <w:t xml:space="preserve"> refundable accommodation payments (including refundable deposits and accommodation bonds) if the approved provider becomes insolvent or bankrupt and defaults on its refund obligations. In return for the payment, the rights that the resident had</w:t>
      </w:r>
      <w:r w:rsidR="001A716D">
        <w:t> </w:t>
      </w:r>
      <w:r>
        <w:t xml:space="preserve">to recover the amount from their approved provider are transferred to the </w:t>
      </w:r>
      <w:r w:rsidR="001F3211">
        <w:t>Australian</w:t>
      </w:r>
      <w:r w:rsidR="001A716D">
        <w:t xml:space="preserve"> </w:t>
      </w:r>
      <w:r w:rsidR="001F3211">
        <w:t>Government</w:t>
      </w:r>
      <w:r>
        <w:t xml:space="preserve"> so it can pursue the approved provider for the funds. In cases where the funds are unable to be recovered, the </w:t>
      </w:r>
      <w:r w:rsidR="001F3211">
        <w:t>Australian Government</w:t>
      </w:r>
      <w:r>
        <w:t xml:space="preserve"> may levy all approved providers holding bonds, entry contributions and refundable accommodation deposits to meet any</w:t>
      </w:r>
      <w:r w:rsidR="007571B0">
        <w:t> </w:t>
      </w:r>
      <w:r>
        <w:t>shortfall.</w:t>
      </w:r>
    </w:p>
    <w:p w14:paraId="1087F952" w14:textId="4AF69326" w:rsidR="003F39AD" w:rsidRPr="00B832E0" w:rsidRDefault="003F39AD" w:rsidP="001078E4">
      <w:pPr>
        <w:pStyle w:val="Heading4"/>
      </w:pPr>
      <w:r w:rsidRPr="00B832E0">
        <w:t>Advance Purchasing Agreements for COVID</w:t>
      </w:r>
      <w:r w:rsidR="00D737F9">
        <w:noBreakHyphen/>
      </w:r>
      <w:r w:rsidRPr="00B832E0">
        <w:t xml:space="preserve">19 </w:t>
      </w:r>
      <w:bookmarkEnd w:id="108"/>
      <w:r w:rsidRPr="00B832E0">
        <w:t>vaccines</w:t>
      </w:r>
    </w:p>
    <w:p w14:paraId="4B74702B" w14:textId="4614650F" w:rsidR="003F39AD" w:rsidRPr="00626C68" w:rsidRDefault="003F39AD" w:rsidP="00CE6FF1">
      <w:pPr>
        <w:rPr>
          <w:rFonts w:eastAsia="Arial"/>
          <w:b/>
          <w:bCs/>
          <w:lang w:val="en-US"/>
        </w:rPr>
      </w:pPr>
      <w:r>
        <w:t>The Australian Government has provided indemnities to the suppliers of COVID</w:t>
      </w:r>
      <w:r w:rsidR="00D737F9">
        <w:noBreakHyphen/>
      </w:r>
      <w:r>
        <w:t xml:space="preserve">19 vaccines, for which the Australian Government has entered into Advance Purchasing Agreements, covering certain liabilities that could result from the use of the vaccines. </w:t>
      </w:r>
      <w:r w:rsidRPr="00F047E7">
        <w:t>These</w:t>
      </w:r>
      <w:r w:rsidR="007571B0">
        <w:t> </w:t>
      </w:r>
      <w:r w:rsidRPr="00F047E7">
        <w:t>agreements support access to vaccines from</w:t>
      </w:r>
      <w:r w:rsidRPr="009B53F7">
        <w:t xml:space="preserve"> AstraZeneca Pty Ltd, Pfizer Inc, Moderna Switzerland GmbH and Novavax, Inc</w:t>
      </w:r>
      <w:r w:rsidRPr="00F047E7">
        <w:t>.</w:t>
      </w:r>
    </w:p>
    <w:p w14:paraId="4CFFEFFF" w14:textId="77777777" w:rsidR="003F39AD" w:rsidRPr="00B832E0" w:rsidRDefault="003F39AD" w:rsidP="001078E4">
      <w:pPr>
        <w:pStyle w:val="Heading4"/>
      </w:pPr>
      <w:r w:rsidRPr="00B832E0">
        <w:t>Australian Red Cross Society – indemnities</w:t>
      </w:r>
    </w:p>
    <w:p w14:paraId="11A6E354" w14:textId="1D78D831" w:rsidR="003F39AD" w:rsidRPr="003F20DA" w:rsidRDefault="003F39AD" w:rsidP="001078E4">
      <w:bookmarkStart w:id="109" w:name="_Toc71117817"/>
      <w:r>
        <w:t>Deeds of Agreement between the Australian Red Cross Society (the Red Cross) and the National Blood Authority in relation to the operation of Australian Red Cross Lifeblood and the development of principal manufacturing sites in Sydney and Melbourne, include certain indemnities and a limitation of liability in favour of the Red Cross. These indemnities cover defined sets of potential business, product and employee risks and liabilities. Certain indemnities for specific risk events that operate within the term of the Deed of Agreement are capped and must meet specified pre</w:t>
      </w:r>
      <w:r w:rsidR="00D737F9">
        <w:noBreakHyphen/>
      </w:r>
      <w:r>
        <w:t>conditions. Other indemnities and the limitation of liability only operate in the event of the expiry and non</w:t>
      </w:r>
      <w:r w:rsidR="00D737F9">
        <w:noBreakHyphen/>
      </w:r>
      <w:r>
        <w:t xml:space="preserve">renewal, or the earlier termination, of the Deed of Agreement relating to the operation of the Red Cross or the cessation of funding for the principal sites, and only within a certain scope. </w:t>
      </w:r>
      <w:r>
        <w:lastRenderedPageBreak/>
        <w:t>All</w:t>
      </w:r>
      <w:r w:rsidR="007571B0">
        <w:t> </w:t>
      </w:r>
      <w:r>
        <w:t>indemnities are also subject to appropriate limitations and conditions, including in relation to mitigation, contributory fault, and the process of handling relevant claims.</w:t>
      </w:r>
    </w:p>
    <w:p w14:paraId="4A6BD140" w14:textId="77777777" w:rsidR="003F39AD" w:rsidRPr="00B832E0" w:rsidRDefault="003F39AD" w:rsidP="001078E4">
      <w:pPr>
        <w:pStyle w:val="Heading4"/>
      </w:pPr>
      <w:r w:rsidRPr="00B832E0">
        <w:t>Blood and blood products liability cover</w:t>
      </w:r>
      <w:bookmarkEnd w:id="109"/>
    </w:p>
    <w:p w14:paraId="254765E2" w14:textId="27C4D6F9" w:rsidR="003F39AD" w:rsidRPr="003F20DA" w:rsidRDefault="003F39AD" w:rsidP="007571B0">
      <w:bookmarkStart w:id="110" w:name="_Toc71117818"/>
      <w:r w:rsidRPr="003F20DA">
        <w:t>The National Managed Fund (NMF) was established by a memorandum of understanding between the Australian Government, Australian Red Cross Lifeblood (Lifeblood) and state and territory governments to cover potential future claims in relation to the supply of blood and blood products by Lifeblood. The NMF provides for liabilities incurred by Lifeblood where other available mitigation or cover is not available. Under certain conditions, the Australian Government and the state and territory governments may jointly provide indemnity for Lifeblood through a cost</w:t>
      </w:r>
      <w:r w:rsidR="00D737F9">
        <w:noBreakHyphen/>
      </w:r>
      <w:r w:rsidRPr="003F20DA">
        <w:t>sharing arrangement for claims, both current and potential, regarding personal injury and loss or damage suffered by a recipient of certain blood products. If there are insufficient funds in the NMF to cover claim costs, the Jurisdictional Blood Committee will consider a report provided by the National Funds Manager to determine the level of additional funds required. The Australian Government</w:t>
      </w:r>
      <w:r w:rsidR="00D737F9">
        <w:t>’</w:t>
      </w:r>
      <w:r w:rsidRPr="003F20DA">
        <w:t>s share of any additional liability is limited to 63</w:t>
      </w:r>
      <w:r w:rsidR="00BD3D7E">
        <w:t> per cent</w:t>
      </w:r>
      <w:r w:rsidRPr="003F20DA">
        <w:t xml:space="preserve"> of any agreed net cost.</w:t>
      </w:r>
    </w:p>
    <w:p w14:paraId="3F1C5C94" w14:textId="77777777" w:rsidR="003F39AD" w:rsidRPr="00B832E0" w:rsidRDefault="003F39AD" w:rsidP="001078E4">
      <w:pPr>
        <w:pStyle w:val="Heading4"/>
      </w:pPr>
      <w:r w:rsidRPr="00B832E0">
        <w:t>CSL Ltd</w:t>
      </w:r>
      <w:bookmarkEnd w:id="110"/>
    </w:p>
    <w:p w14:paraId="3E186C90" w14:textId="19D56C3A" w:rsidR="003F39AD" w:rsidRPr="007571B0" w:rsidRDefault="003F39AD" w:rsidP="007571B0">
      <w:r>
        <w:t>CSL Limited (CSL) is indemnified against claims made by individuals who contract specified infections from specified products and against employees contracting asbestos</w:t>
      </w:r>
      <w:r w:rsidR="00D737F9">
        <w:noBreakHyphen/>
      </w:r>
      <w:r>
        <w:t>related injuries. CSL has unlimited cover for most events that occurred before the</w:t>
      </w:r>
      <w:r w:rsidR="007571B0">
        <w:t> </w:t>
      </w:r>
      <w:r>
        <w:t>sale of CSL on 1</w:t>
      </w:r>
      <w:r w:rsidR="00D9795C">
        <w:t> January </w:t>
      </w:r>
      <w:r>
        <w:t>1994, but has more limited cover for a specified range of events</w:t>
      </w:r>
      <w:r w:rsidR="007571B0">
        <w:t> </w:t>
      </w:r>
      <w:r>
        <w:t>that occurred during the operation of the Plasma Fractionation Agreement from 1</w:t>
      </w:r>
      <w:r w:rsidR="00D9795C">
        <w:t> January </w:t>
      </w:r>
      <w:r>
        <w:t>1994 to 31</w:t>
      </w:r>
      <w:r w:rsidR="00D9795C">
        <w:t> December </w:t>
      </w:r>
      <w:r>
        <w:t>2004. Where alternative cover was not arranged by CSL, the</w:t>
      </w:r>
      <w:r w:rsidR="007571B0">
        <w:t> </w:t>
      </w:r>
      <w:r w:rsidR="001F3211" w:rsidRPr="007571B0">
        <w:t>Australian Government</w:t>
      </w:r>
      <w:r w:rsidRPr="007571B0">
        <w:t xml:space="preserve"> may have a contingent liability. </w:t>
      </w:r>
    </w:p>
    <w:p w14:paraId="4A099F23" w14:textId="6CD298D4" w:rsidR="003F39AD" w:rsidRPr="007571B0" w:rsidRDefault="003F39AD" w:rsidP="007571B0">
      <w:pPr>
        <w:rPr>
          <w:rFonts w:eastAsia="Arial"/>
        </w:rPr>
      </w:pPr>
      <w:r w:rsidRPr="007571B0">
        <w:t xml:space="preserve">The National Fractionation Agreement for </w:t>
      </w:r>
      <w:r w:rsidRPr="00F5415A">
        <w:t>Australia with CSL Behring (Australia) Pty Ltd (a subsidiary of CSL), which has operated since 1</w:t>
      </w:r>
      <w:r w:rsidR="00D9795C" w:rsidRPr="00F5415A">
        <w:t> January </w:t>
      </w:r>
      <w:r w:rsidRPr="00F5415A">
        <w:t xml:space="preserve">2018, includes a requirement that the National Blood Authority make a defined payment to CSL Behring (Australia) </w:t>
      </w:r>
      <w:r w:rsidR="00C562C9" w:rsidRPr="00F5415A">
        <w:t xml:space="preserve">Pty </w:t>
      </w:r>
      <w:r w:rsidRPr="00F5415A">
        <w:t xml:space="preserve">Ltd in certain circumstances only, in the event that the volume of plasma supplied annually to CSL Behring (Australia) </w:t>
      </w:r>
      <w:r w:rsidR="00C562C9" w:rsidRPr="00F5415A">
        <w:t xml:space="preserve">Pty </w:t>
      </w:r>
      <w:r w:rsidRPr="00F5415A">
        <w:t>Ltd is less than a specified amount.</w:t>
      </w:r>
    </w:p>
    <w:p w14:paraId="6E2ADED9" w14:textId="77777777" w:rsidR="003F39AD" w:rsidRPr="00B832E0" w:rsidRDefault="003F39AD" w:rsidP="001078E4">
      <w:pPr>
        <w:pStyle w:val="Heading4"/>
      </w:pPr>
      <w:r w:rsidRPr="00B832E0">
        <w:t>Indemnities relating to vaccines</w:t>
      </w:r>
    </w:p>
    <w:p w14:paraId="7DB42290" w14:textId="0BAE10CD" w:rsidR="003F39AD" w:rsidRDefault="003F39AD" w:rsidP="007571B0">
      <w:pPr>
        <w:rPr>
          <w:rFonts w:eastAsia="Book Antiqua"/>
        </w:rPr>
      </w:pPr>
      <w:r w:rsidRPr="00B832E0">
        <w:rPr>
          <w:rFonts w:eastAsia="Book Antiqua"/>
        </w:rPr>
        <w:t>The Australian Government has provided indemnities to a manufacturer of a smallpox/monkeypox vaccine held by the Australian Government, covering possible adverse events that could result from the use of the vaccine in an emergency situation. Indemnities have also been provided to a particular manufacturer of pandemic and pre</w:t>
      </w:r>
      <w:r w:rsidR="00D737F9">
        <w:rPr>
          <w:rFonts w:eastAsia="Book Antiqua"/>
        </w:rPr>
        <w:noBreakHyphen/>
      </w:r>
      <w:r w:rsidRPr="00B832E0">
        <w:rPr>
          <w:rFonts w:eastAsia="Book Antiqua"/>
        </w:rPr>
        <w:t>pandemic influenza vaccines for the supply or future supply of influenza vaccines under certain conditions (including H1N1 and</w:t>
      </w:r>
      <w:r w:rsidRPr="00C37C38">
        <w:rPr>
          <w:rFonts w:eastAsia="Book Antiqua"/>
        </w:rPr>
        <w:t xml:space="preserve"> </w:t>
      </w:r>
      <w:r w:rsidRPr="00B832E0">
        <w:rPr>
          <w:rFonts w:eastAsia="Book Antiqua"/>
        </w:rPr>
        <w:t>H5N1).</w:t>
      </w:r>
    </w:p>
    <w:p w14:paraId="029EF8B6" w14:textId="77777777" w:rsidR="003F39AD" w:rsidRPr="00071068" w:rsidRDefault="003F39AD" w:rsidP="0045351E">
      <w:pPr>
        <w:pStyle w:val="Heading4"/>
        <w:keepLines/>
        <w:rPr>
          <w:rFonts w:eastAsia="Arial"/>
        </w:rPr>
      </w:pPr>
      <w:bookmarkStart w:id="111" w:name="_Toc71117820"/>
      <w:r w:rsidRPr="00071068">
        <w:rPr>
          <w:rFonts w:eastAsia="Arial"/>
        </w:rPr>
        <w:lastRenderedPageBreak/>
        <w:t>Major sporting events</w:t>
      </w:r>
    </w:p>
    <w:p w14:paraId="27B7FE1D" w14:textId="47F41862" w:rsidR="003F39AD" w:rsidRPr="00626C68" w:rsidRDefault="003F39AD" w:rsidP="0045351E">
      <w:pPr>
        <w:keepLines/>
      </w:pPr>
      <w:r>
        <w:rPr>
          <w:b/>
          <w:bCs/>
        </w:rPr>
        <w:t xml:space="preserve">Brisbane </w:t>
      </w:r>
      <w:r w:rsidRPr="13C3AB92">
        <w:rPr>
          <w:b/>
          <w:bCs/>
        </w:rPr>
        <w:t>2032 Olympic and Paralympic Games</w:t>
      </w:r>
      <w:r>
        <w:t xml:space="preserve"> – On 21</w:t>
      </w:r>
      <w:r w:rsidR="00D9795C">
        <w:t> July </w:t>
      </w:r>
      <w:r>
        <w:t>2021, the International Olympic Committee selected Brisbane to host the 2032 Olympic and Paralympic Games. On</w:t>
      </w:r>
      <w:r w:rsidR="007571B0">
        <w:t> </w:t>
      </w:r>
      <w:r>
        <w:t>17</w:t>
      </w:r>
      <w:r w:rsidR="002531F5">
        <w:t> </w:t>
      </w:r>
      <w:r>
        <w:t>February</w:t>
      </w:r>
      <w:r w:rsidR="002531F5">
        <w:t> </w:t>
      </w:r>
      <w:r>
        <w:t xml:space="preserve">2023, the Australian Government and the Queensland Government signed a </w:t>
      </w:r>
      <w:r w:rsidRPr="007571B0">
        <w:t xml:space="preserve">bilateral agreement on matters of shared interest, including a capped capital contribution towards venue infrastructure by the Australian Government. The </w:t>
      </w:r>
      <w:r w:rsidR="001F3211" w:rsidRPr="007571B0">
        <w:t>Australian Government</w:t>
      </w:r>
      <w:r w:rsidRPr="007571B0">
        <w:t xml:space="preserve"> has also provided a range of guarantees to the International Olympic Committee for provision of government services in support of Brisbane hosting the Games, at no cost to the Organising Committee of the Olympic Games. The financial implications of this support are not quantifiable at this time.</w:t>
      </w:r>
    </w:p>
    <w:p w14:paraId="589C6784" w14:textId="1FC158EC" w:rsidR="003F39AD" w:rsidRPr="00626C68" w:rsidRDefault="003F39AD" w:rsidP="00CE6FF1">
      <w:r w:rsidRPr="13C3AB92">
        <w:rPr>
          <w:b/>
          <w:bCs/>
        </w:rPr>
        <w:t>2027 Rugby World Cup and 2029 Women</w:t>
      </w:r>
      <w:r w:rsidR="00D737F9">
        <w:rPr>
          <w:b/>
          <w:bCs/>
        </w:rPr>
        <w:t>’</w:t>
      </w:r>
      <w:r w:rsidRPr="13C3AB92">
        <w:rPr>
          <w:b/>
          <w:bCs/>
        </w:rPr>
        <w:t>s Rugby World Cup</w:t>
      </w:r>
      <w:r>
        <w:t xml:space="preserve"> – On 12</w:t>
      </w:r>
      <w:r w:rsidR="002531F5">
        <w:t> </w:t>
      </w:r>
      <w:r>
        <w:t>May</w:t>
      </w:r>
      <w:r w:rsidR="002531F5">
        <w:t> </w:t>
      </w:r>
      <w:r>
        <w:t>2022, World</w:t>
      </w:r>
      <w:r w:rsidR="00F5415A">
        <w:t> </w:t>
      </w:r>
      <w:r>
        <w:t>Rugby selected Australia as the host of the 2027 Rugby World Cup and the 2029</w:t>
      </w:r>
      <w:r w:rsidR="00F5415A">
        <w:t> </w:t>
      </w:r>
      <w:r>
        <w:t>Women</w:t>
      </w:r>
      <w:r w:rsidR="00D737F9">
        <w:t>’</w:t>
      </w:r>
      <w:r>
        <w:t>s Rugby World Cup. In addition to the financial assistance provided in the 2022</w:t>
      </w:r>
      <w:r w:rsidR="00087D8D">
        <w:t>‍</w:t>
      </w:r>
      <w:r>
        <w:t>–</w:t>
      </w:r>
      <w:r w:rsidR="00087D8D">
        <w:t>‍</w:t>
      </w:r>
      <w:r>
        <w:t>23</w:t>
      </w:r>
      <w:r w:rsidR="00D9795C">
        <w:t> March </w:t>
      </w:r>
      <w:r>
        <w:t>Budget to support event delivery and legacy programs, the Government has</w:t>
      </w:r>
      <w:r w:rsidR="00F5415A">
        <w:t> </w:t>
      </w:r>
      <w:r>
        <w:t>committed to provide services and support (such as security commitments and visa processing for participants and support staff). The financial implication of this additional support is not quantifiable at this time.</w:t>
      </w:r>
    </w:p>
    <w:p w14:paraId="033C20A7" w14:textId="47C92854" w:rsidR="003F39AD" w:rsidRDefault="003F39AD" w:rsidP="001078E4">
      <w:r w:rsidRPr="1BEC0AA8">
        <w:rPr>
          <w:b/>
          <w:bCs/>
        </w:rPr>
        <w:t>2023 FIFA Women</w:t>
      </w:r>
      <w:r w:rsidR="00D737F9">
        <w:rPr>
          <w:b/>
          <w:bCs/>
        </w:rPr>
        <w:t>’</w:t>
      </w:r>
      <w:r w:rsidRPr="1BEC0AA8">
        <w:rPr>
          <w:b/>
          <w:bCs/>
        </w:rPr>
        <w:t xml:space="preserve">s World Cup </w:t>
      </w:r>
      <w:r>
        <w:t>– Between 20</w:t>
      </w:r>
      <w:r w:rsidR="00D9795C">
        <w:t> July </w:t>
      </w:r>
      <w:r>
        <w:t>2023 and 20</w:t>
      </w:r>
      <w:r w:rsidR="002531F5">
        <w:t> </w:t>
      </w:r>
      <w:r>
        <w:t>August</w:t>
      </w:r>
      <w:r w:rsidR="002531F5">
        <w:t> </w:t>
      </w:r>
      <w:r>
        <w:t>2023, Australia and New Zealand co</w:t>
      </w:r>
      <w:r w:rsidR="00D737F9">
        <w:noBreakHyphen/>
      </w:r>
      <w:r>
        <w:t>hosted the 2023 FIFA Women</w:t>
      </w:r>
      <w:r w:rsidR="00D737F9">
        <w:t>’</w:t>
      </w:r>
      <w:r>
        <w:t xml:space="preserve">s World Cup. In addition to the financial assistance provided by the </w:t>
      </w:r>
      <w:r w:rsidR="001F3211">
        <w:t>Australian Government</w:t>
      </w:r>
      <w:r>
        <w:t xml:space="preserve"> to support direct event delivery costs and legacy programs, the Government committed to provide Commonwealth guarantees for the event including taxation exemptions. The financial implication of this additional support is not quantifiable at this time.</w:t>
      </w:r>
    </w:p>
    <w:p w14:paraId="34BD5726" w14:textId="77777777" w:rsidR="003F39AD" w:rsidRPr="00B832E0" w:rsidRDefault="003F39AD" w:rsidP="001078E4">
      <w:pPr>
        <w:pStyle w:val="Heading4"/>
      </w:pPr>
      <w:r w:rsidRPr="00B832E0">
        <w:t>Medical Indemnity Exceptional Claims Scheme</w:t>
      </w:r>
      <w:bookmarkEnd w:id="111"/>
    </w:p>
    <w:p w14:paraId="5EC51449" w14:textId="011312D2" w:rsidR="003F39AD" w:rsidRDefault="003F39AD" w:rsidP="00F5415A">
      <w:pPr>
        <w:rPr>
          <w:rFonts w:eastAsia="Arial"/>
        </w:rPr>
      </w:pPr>
      <w:r>
        <w:t xml:space="preserve">Under the Medical Indemnity Exceptional Claims Scheme, the </w:t>
      </w:r>
      <w:r w:rsidR="001F3211">
        <w:t>Australian Government</w:t>
      </w:r>
      <w:r>
        <w:t xml:space="preserve"> assumes liability for 100</w:t>
      </w:r>
      <w:r w:rsidR="002531F5">
        <w:t> </w:t>
      </w:r>
      <w:r>
        <w:t>per</w:t>
      </w:r>
      <w:r w:rsidR="002531F5">
        <w:t> </w:t>
      </w:r>
      <w:r>
        <w:t>cent of any damages payable against practitioners practising in a medical profession that exceed a specified level of cover provided by the practitioner</w:t>
      </w:r>
      <w:r w:rsidR="00D737F9">
        <w:t>’</w:t>
      </w:r>
      <w:r>
        <w:t>s medical indemnity insurer (currently $20</w:t>
      </w:r>
      <w:r w:rsidR="003002F3">
        <w:t> </w:t>
      </w:r>
      <w:r>
        <w:t>million). These arrangements apply to payouts either related to a single large claim or to multiple claims that in aggregate exceed the cover provided by the practitioner</w:t>
      </w:r>
      <w:r w:rsidR="00D737F9">
        <w:t>’</w:t>
      </w:r>
      <w:r>
        <w:t>s medical indemnity insurer, and would apply to claims notified under contract</w:t>
      </w:r>
      <w:r w:rsidR="00D737F9">
        <w:noBreakHyphen/>
      </w:r>
      <w:r>
        <w:t>based cover since 2003. From 1</w:t>
      </w:r>
      <w:r w:rsidR="00D9795C">
        <w:t> July </w:t>
      </w:r>
      <w:r>
        <w:t xml:space="preserve">2020, the </w:t>
      </w:r>
      <w:r w:rsidRPr="00F06E34">
        <w:rPr>
          <w:rFonts w:eastAsia="Book Antiqua"/>
          <w:i/>
        </w:rPr>
        <w:t>Medical and Midwife Indemnity Legislation Amendment Act</w:t>
      </w:r>
      <w:r w:rsidR="000C21D6">
        <w:rPr>
          <w:rFonts w:eastAsia="Book Antiqua"/>
          <w:i/>
        </w:rPr>
        <w:t> </w:t>
      </w:r>
      <w:r w:rsidRPr="00F06E34">
        <w:rPr>
          <w:rFonts w:eastAsia="Book Antiqua"/>
          <w:i/>
        </w:rPr>
        <w:t>2019</w:t>
      </w:r>
      <w:r>
        <w:t xml:space="preserve"> provides transferred eligibility for allied health professionals (including registered only midwives) into the Allied Health High Cost Claims Scheme and Allied Health Exceptional Claims Scheme within the </w:t>
      </w:r>
      <w:r w:rsidRPr="13C3AB92">
        <w:rPr>
          <w:i/>
          <w:iCs/>
        </w:rPr>
        <w:t>Medical Indemnity Act</w:t>
      </w:r>
      <w:r w:rsidR="000C21D6">
        <w:rPr>
          <w:i/>
          <w:iCs/>
        </w:rPr>
        <w:t> </w:t>
      </w:r>
      <w:r w:rsidRPr="13C3AB92">
        <w:rPr>
          <w:i/>
          <w:iCs/>
        </w:rPr>
        <w:t>2002</w:t>
      </w:r>
      <w:r>
        <w:t>.</w:t>
      </w:r>
    </w:p>
    <w:p w14:paraId="49A8304D" w14:textId="77777777" w:rsidR="003F39AD" w:rsidRPr="00BC75D3" w:rsidRDefault="003F39AD" w:rsidP="0045351E">
      <w:pPr>
        <w:pStyle w:val="Heading4"/>
        <w:keepLines/>
      </w:pPr>
      <w:r w:rsidRPr="00BC75D3">
        <w:rPr>
          <w:rStyle w:val="null"/>
          <w:rFonts w:ascii="Arial" w:hAnsi="Arial" w:cs="Arial"/>
          <w:bCs/>
        </w:rPr>
        <w:lastRenderedPageBreak/>
        <w:t xml:space="preserve">Medical Rural </w:t>
      </w:r>
      <w:r w:rsidRPr="00BC75D3">
        <w:rPr>
          <w:rStyle w:val="null"/>
          <w:rFonts w:cs="Arial"/>
          <w:bCs/>
        </w:rPr>
        <w:t>Bonded</w:t>
      </w:r>
      <w:r w:rsidRPr="00BC75D3">
        <w:rPr>
          <w:rStyle w:val="null"/>
          <w:rFonts w:ascii="Arial" w:hAnsi="Arial" w:cs="Arial"/>
          <w:bCs/>
        </w:rPr>
        <w:t xml:space="preserve"> Scholarship Waivers</w:t>
      </w:r>
    </w:p>
    <w:p w14:paraId="5451D682" w14:textId="25DBF8C3" w:rsidR="003F39AD" w:rsidRPr="00FC4B99" w:rsidRDefault="003F39AD" w:rsidP="0045351E">
      <w:pPr>
        <w:keepLines/>
      </w:pPr>
      <w:r w:rsidRPr="00A61D6A">
        <w:rPr>
          <w:rStyle w:val="ui-provider"/>
        </w:rPr>
        <w:t>The Department of Health and Aged Care is using debt waivers to address the creation of</w:t>
      </w:r>
      <w:r w:rsidR="00F5415A">
        <w:rPr>
          <w:rStyle w:val="ui-provider"/>
        </w:rPr>
        <w:t> </w:t>
      </w:r>
      <w:r w:rsidRPr="00A61D6A">
        <w:rPr>
          <w:rStyle w:val="ui-provider"/>
        </w:rPr>
        <w:t>statutory debts by participants of the Medical Rural Bonded Scholarship Scheme who inadvertently breached contractual arrangements from 2020</w:t>
      </w:r>
      <w:r>
        <w:rPr>
          <w:rStyle w:val="ui-provider"/>
        </w:rPr>
        <w:t>,</w:t>
      </w:r>
      <w:r w:rsidRPr="00A61D6A">
        <w:rPr>
          <w:rStyle w:val="ui-provider"/>
        </w:rPr>
        <w:t xml:space="preserve"> when the reformed Bonded Medical Program was implemented. In 2022</w:t>
      </w:r>
      <w:r w:rsidR="00CB05B6">
        <w:rPr>
          <w:rStyle w:val="ui-provider"/>
        </w:rPr>
        <w:t>–</w:t>
      </w:r>
      <w:r w:rsidRPr="00A61D6A">
        <w:rPr>
          <w:rStyle w:val="ui-provider"/>
        </w:rPr>
        <w:t xml:space="preserve">23, the Department of Health and Aged Care waived $51.8 million in statutory debts and further waivers may be required. The total value of the waivers </w:t>
      </w:r>
      <w:r>
        <w:rPr>
          <w:rStyle w:val="ui-provider"/>
        </w:rPr>
        <w:t>cannot yet</w:t>
      </w:r>
      <w:r w:rsidRPr="00A61D6A">
        <w:rPr>
          <w:rStyle w:val="ui-provider"/>
        </w:rPr>
        <w:t xml:space="preserve"> be quantified.</w:t>
      </w:r>
    </w:p>
    <w:p w14:paraId="629F1F94" w14:textId="77777777" w:rsidR="003F39AD" w:rsidRPr="00B832E0" w:rsidRDefault="003F39AD" w:rsidP="001E3423">
      <w:pPr>
        <w:pStyle w:val="Heading4"/>
      </w:pPr>
      <w:r w:rsidRPr="00B832E0">
        <w:t>mRNA manufacturing facility – indemnities</w:t>
      </w:r>
    </w:p>
    <w:p w14:paraId="0D8B4F41" w14:textId="6F7079C7" w:rsidR="003F39AD" w:rsidRPr="00A61D6A" w:rsidRDefault="003F39AD" w:rsidP="00F5415A">
      <w:r w:rsidRPr="00A61D6A">
        <w:t>The Commonwealth has entered into a strategic partnership with Moderna</w:t>
      </w:r>
      <w:r>
        <w:rPr>
          <w:iCs/>
        </w:rPr>
        <w:t xml:space="preserve"> Australia Pty Ltd</w:t>
      </w:r>
      <w:r w:rsidRPr="00A61D6A">
        <w:t xml:space="preserve"> </w:t>
      </w:r>
      <w:r w:rsidR="00663328">
        <w:t xml:space="preserve">(Moderna) </w:t>
      </w:r>
      <w:r w:rsidRPr="00A61D6A">
        <w:t>to establish domestic mRNA vaccine manufacturing capacity and capability in Australia. Under the agreement between the Commonwealth and Moderna, the Commonwealth may enter into a pandemic vaccine advance purchase agreement with Moderna for locally manufactured mRNA vaccines in certain circumstances where an infectious disease pandemic is declared. Moderna will also have the capacity to supply the</w:t>
      </w:r>
      <w:r w:rsidR="00F5415A">
        <w:t> </w:t>
      </w:r>
      <w:r w:rsidRPr="00A61D6A">
        <w:t>Commonwealth with non</w:t>
      </w:r>
      <w:r w:rsidR="00D737F9">
        <w:noBreakHyphen/>
      </w:r>
      <w:r w:rsidRPr="00A61D6A">
        <w:t>pandemic vaccines through a non</w:t>
      </w:r>
      <w:r w:rsidR="00D737F9">
        <w:noBreakHyphen/>
      </w:r>
      <w:r w:rsidRPr="00A61D6A">
        <w:t>pandemic vaccine supply</w:t>
      </w:r>
      <w:r w:rsidR="00F5415A">
        <w:t> </w:t>
      </w:r>
      <w:r w:rsidRPr="00A61D6A">
        <w:t>agreement.</w:t>
      </w:r>
    </w:p>
    <w:p w14:paraId="346C25F7" w14:textId="77777777" w:rsidR="003F39AD" w:rsidRPr="00A61D6A" w:rsidRDefault="003F39AD" w:rsidP="001078E4">
      <w:r w:rsidRPr="00A61D6A">
        <w:t xml:space="preserve">The Commonwealth does provide indemnities to Moderna under these arrangements to cover certain liabilities that could result from the implementation of the arrangement. </w:t>
      </w:r>
    </w:p>
    <w:p w14:paraId="33F934CC" w14:textId="442D8F1E" w:rsidR="003F39AD" w:rsidRPr="00A7157A" w:rsidRDefault="003F39AD" w:rsidP="001078E4">
      <w:pPr>
        <w:rPr>
          <w:iCs/>
        </w:rPr>
      </w:pPr>
      <w:bookmarkStart w:id="112" w:name="_Toc99141873"/>
      <w:r w:rsidRPr="00A61D6A">
        <w:t>There are also indemnities provided by Moderna in favour of the Commonwealth for certain liabilities, which reflect risk</w:t>
      </w:r>
      <w:r>
        <w:rPr>
          <w:iCs/>
        </w:rPr>
        <w:t xml:space="preserve"> </w:t>
      </w:r>
      <w:r w:rsidRPr="00A7157A">
        <w:rPr>
          <w:iCs/>
        </w:rPr>
        <w:t xml:space="preserve">sharing between the parties and are intended to limit financial exposure to the </w:t>
      </w:r>
      <w:r w:rsidR="001F3211">
        <w:rPr>
          <w:iCs/>
        </w:rPr>
        <w:t>Australian Government</w:t>
      </w:r>
      <w:r w:rsidRPr="00A7157A">
        <w:rPr>
          <w:iCs/>
        </w:rPr>
        <w:t>.</w:t>
      </w:r>
    </w:p>
    <w:p w14:paraId="7A6B3532" w14:textId="77777777" w:rsidR="003F39AD" w:rsidRPr="00B832E0" w:rsidRDefault="003F39AD" w:rsidP="001078E4">
      <w:pPr>
        <w:pStyle w:val="Heading3"/>
        <w:rPr>
          <w:rFonts w:eastAsia="Arial"/>
        </w:rPr>
      </w:pPr>
      <w:bookmarkStart w:id="113" w:name="_Toc166165514"/>
      <w:r w:rsidRPr="00B832E0">
        <w:rPr>
          <w:rFonts w:eastAsia="Arial"/>
        </w:rPr>
        <w:t>Contingent asset – unquantifiable</w:t>
      </w:r>
      <w:bookmarkEnd w:id="112"/>
      <w:bookmarkEnd w:id="113"/>
    </w:p>
    <w:p w14:paraId="7DE4BD1D" w14:textId="77777777" w:rsidR="003F39AD" w:rsidRPr="00B832E0" w:rsidRDefault="003F39AD" w:rsidP="001078E4">
      <w:pPr>
        <w:pStyle w:val="Heading4"/>
      </w:pPr>
      <w:bookmarkStart w:id="114" w:name="_Toc71117823"/>
      <w:r w:rsidRPr="00B832E0">
        <w:t>Legal action seeking compensation</w:t>
      </w:r>
      <w:bookmarkEnd w:id="114"/>
    </w:p>
    <w:p w14:paraId="4B380EC6" w14:textId="1CEBA8D9" w:rsidR="003F39AD" w:rsidRPr="006858B9" w:rsidRDefault="003F39AD" w:rsidP="00F5415A">
      <w:pPr>
        <w:rPr>
          <w:rFonts w:eastAsia="Arial"/>
        </w:rPr>
      </w:pPr>
      <w:r>
        <w:t xml:space="preserve">The Department of Health and Aged Care is engaged in legal action against certain pharmaceutical companies </w:t>
      </w:r>
      <w:r w:rsidRPr="006858B9">
        <w:t>to recover savings denied to the Commonwealth. This is due to interim injunctions granted to these companies in unsuccessful patent litigation delaying generic versions of drugs being listed on the Pharmaceutical Benefits Scheme, thereby delaying statutory and price disclosure related price reductions for these drugs.</w:t>
      </w:r>
    </w:p>
    <w:p w14:paraId="47C9C5A4" w14:textId="77777777" w:rsidR="009D70F5" w:rsidRPr="006858B9" w:rsidRDefault="009D70F5" w:rsidP="006858B9">
      <w:r w:rsidRPr="006858B9">
        <w:br w:type="page"/>
      </w:r>
    </w:p>
    <w:p w14:paraId="22B006F6" w14:textId="77777777" w:rsidR="009D70F5" w:rsidRPr="00B832E0" w:rsidRDefault="009D70F5" w:rsidP="001078E4">
      <w:pPr>
        <w:pStyle w:val="Heading2"/>
      </w:pPr>
      <w:bookmarkStart w:id="115" w:name="_Toc166165515"/>
      <w:r w:rsidRPr="00B832E0">
        <w:lastRenderedPageBreak/>
        <w:t>Home Affairs</w:t>
      </w:r>
      <w:bookmarkEnd w:id="103"/>
      <w:bookmarkEnd w:id="115"/>
    </w:p>
    <w:p w14:paraId="318EA186" w14:textId="77777777" w:rsidR="0028765A" w:rsidRPr="00FE5783" w:rsidRDefault="0028765A" w:rsidP="00FE5783">
      <w:pPr>
        <w:pStyle w:val="Heading3"/>
      </w:pPr>
      <w:bookmarkStart w:id="116" w:name="_Toc71117824"/>
      <w:bookmarkStart w:id="117" w:name="_Toc99141875"/>
      <w:bookmarkStart w:id="118" w:name="_Toc166165516"/>
      <w:bookmarkStart w:id="119" w:name="_Toc99141879"/>
      <w:bookmarkEnd w:id="78"/>
      <w:r w:rsidRPr="00FE5783">
        <w:t>Fiscal Risk</w:t>
      </w:r>
      <w:bookmarkEnd w:id="116"/>
      <w:bookmarkEnd w:id="117"/>
      <w:bookmarkEnd w:id="118"/>
    </w:p>
    <w:p w14:paraId="47D75231" w14:textId="77777777" w:rsidR="0028765A" w:rsidRPr="00B832E0" w:rsidRDefault="0028765A" w:rsidP="001078E4">
      <w:pPr>
        <w:pStyle w:val="Heading4"/>
      </w:pPr>
      <w:bookmarkStart w:id="120" w:name="_Toc71117825"/>
      <w:r w:rsidRPr="00B832E0">
        <w:t>Regional processing arrangements</w:t>
      </w:r>
      <w:bookmarkEnd w:id="120"/>
    </w:p>
    <w:p w14:paraId="2A790AB4" w14:textId="60A76EC4" w:rsidR="0028765A" w:rsidRPr="00B832E0" w:rsidRDefault="0028765A" w:rsidP="00F5415A">
      <w:r w:rsidRPr="00B832E0">
        <w:t>Effective 1</w:t>
      </w:r>
      <w:r>
        <w:t> </w:t>
      </w:r>
      <w:r w:rsidRPr="00B832E0">
        <w:t>January</w:t>
      </w:r>
      <w:r>
        <w:t> </w:t>
      </w:r>
      <w:r w:rsidRPr="00B832E0">
        <w:t xml:space="preserve">2022, the </w:t>
      </w:r>
      <w:r w:rsidR="001F3211">
        <w:t>Australian Government</w:t>
      </w:r>
      <w:r w:rsidRPr="00B832E0">
        <w:t xml:space="preserve"> supports regional processing arrangements in the Republic of Nauru, assisting the Government of Nauru to provide support and services to transferees residing in Nauru. Any significant changes in the number of transferees, the arrangements that underpin the provision of those services, relevant litigation or legislative changes, may incur a cost or generate cost reductions which are unquantifiable at this time.</w:t>
      </w:r>
    </w:p>
    <w:p w14:paraId="009C5A42" w14:textId="77777777" w:rsidR="0028765A" w:rsidRPr="00B832E0" w:rsidRDefault="0028765A" w:rsidP="001078E4">
      <w:pPr>
        <w:pStyle w:val="Heading3"/>
      </w:pPr>
      <w:bookmarkStart w:id="121" w:name="_Toc71117826"/>
      <w:bookmarkStart w:id="122" w:name="_Toc99141876"/>
      <w:bookmarkStart w:id="123" w:name="_Toc71117827"/>
      <w:bookmarkStart w:id="124" w:name="_Toc99141877"/>
      <w:bookmarkStart w:id="125" w:name="_Toc166165517"/>
      <w:bookmarkEnd w:id="121"/>
      <w:bookmarkEnd w:id="122"/>
      <w:r w:rsidRPr="00B832E0">
        <w:t>Contingent liabilities – unquantifiable</w:t>
      </w:r>
      <w:bookmarkEnd w:id="123"/>
      <w:bookmarkEnd w:id="124"/>
      <w:bookmarkEnd w:id="125"/>
    </w:p>
    <w:p w14:paraId="093F58AB" w14:textId="77777777" w:rsidR="0028765A" w:rsidRPr="00B832E0" w:rsidRDefault="0028765A" w:rsidP="001078E4">
      <w:pPr>
        <w:pStyle w:val="Heading4"/>
      </w:pPr>
      <w:bookmarkStart w:id="126" w:name="_Toc71117828"/>
      <w:r w:rsidRPr="00B832E0">
        <w:t>Australian victims of terrorism overseas payment</w:t>
      </w:r>
      <w:bookmarkEnd w:id="126"/>
    </w:p>
    <w:p w14:paraId="5E393E8F" w14:textId="22F73679" w:rsidR="0028765A" w:rsidRPr="00A61D6A" w:rsidRDefault="0028765A" w:rsidP="00F5415A">
      <w:pPr>
        <w:rPr>
          <w:rFonts w:eastAsiaTheme="minorHAnsi"/>
        </w:rPr>
      </w:pPr>
      <w:bookmarkStart w:id="127" w:name="_Toc71117830"/>
      <w:r>
        <w:t xml:space="preserve">The </w:t>
      </w:r>
      <w:r w:rsidRPr="423243D9">
        <w:rPr>
          <w:i/>
          <w:iCs/>
        </w:rPr>
        <w:t>Social Security Amendment (Supporting Australian Victims of Terrorism Overseas) Act 2012</w:t>
      </w:r>
      <w:r>
        <w:t xml:space="preserve"> inserted Part 2.24AA into the </w:t>
      </w:r>
      <w:r w:rsidRPr="423243D9">
        <w:rPr>
          <w:i/>
          <w:iCs/>
        </w:rPr>
        <w:t>Social Security Act 1991</w:t>
      </w:r>
      <w:r>
        <w:t xml:space="preserve"> to create a scheme to provide financial assistance to </w:t>
      </w:r>
      <w:r w:rsidRPr="00F5415A">
        <w:t>Australian residents who are victims of an overseas terrorist act that has been declared by the Prime Minister. The scheme commenced on 22</w:t>
      </w:r>
      <w:r w:rsidR="00D9795C" w:rsidRPr="00F5415A">
        <w:t> January </w:t>
      </w:r>
      <w:r w:rsidRPr="00F5415A">
        <w:t>2013. Under the scheme, Australian residents who are harmed (primary victims) or whose close family member dies (secondary victims) as a direct result of a declared terrorist act are eligible to claim one</w:t>
      </w:r>
      <w:r w:rsidR="00D737F9">
        <w:noBreakHyphen/>
      </w:r>
      <w:r w:rsidRPr="00F5415A">
        <w:t>off payments of up to $75,000. As acts of terrorism are unpredictable, and the declaration of overseas terrorists acts discretionary, the cost of the scheme is unquantifiable</w:t>
      </w:r>
      <w:r>
        <w:t xml:space="preserve">. </w:t>
      </w:r>
    </w:p>
    <w:p w14:paraId="5521E042" w14:textId="77777777" w:rsidR="0028765A" w:rsidRPr="001B1431" w:rsidRDefault="0028765A" w:rsidP="001078E4">
      <w:pPr>
        <w:pStyle w:val="Heading4"/>
        <w:rPr>
          <w:rFonts w:eastAsia="Arial"/>
          <w:lang w:val="en-US"/>
        </w:rPr>
      </w:pPr>
      <w:r w:rsidRPr="001B1431">
        <w:rPr>
          <w:rFonts w:eastAsia="Arial"/>
          <w:lang w:val="en-US"/>
        </w:rPr>
        <w:t>Disaster Recovery</w:t>
      </w:r>
    </w:p>
    <w:p w14:paraId="0FA52024" w14:textId="79814122" w:rsidR="0028765A" w:rsidRPr="00903045" w:rsidRDefault="0028765A" w:rsidP="00903045">
      <w:pPr>
        <w:rPr>
          <w:rFonts w:eastAsia="Arial"/>
        </w:rPr>
      </w:pPr>
      <w:r>
        <w:t>The Australian Government provides funding to states and territories through the jointly</w:t>
      </w:r>
      <w:r w:rsidR="00D737F9">
        <w:noBreakHyphen/>
      </w:r>
      <w:r>
        <w:t>funded Commonwealth</w:t>
      </w:r>
      <w:r w:rsidR="00D737F9">
        <w:noBreakHyphen/>
      </w:r>
      <w:r>
        <w:t xml:space="preserve">State Disaster Recovery Funding Arrangements (DRFA) to assist with natural disaster relief and recovery costs. A state or territory may claim DRFA funding if a natural disaster occurs and relief and recovery expenditure for that event meet the thresholds set out in the DRFA. </w:t>
      </w:r>
    </w:p>
    <w:p w14:paraId="4CCEC897" w14:textId="77777777" w:rsidR="0028765A" w:rsidRDefault="0028765A" w:rsidP="00903045">
      <w:r>
        <w:t xml:space="preserve">The forward estimates for the DRFA include preliminary estimates of costs for past events, based on the best information available at the time of preparation. Preliminary estimates of the cost of disaster relief and recovery and the timing of expenditure are subject to change. The total cost of relief and recovery from past events may not be completely realised for several years. </w:t>
      </w:r>
    </w:p>
    <w:p w14:paraId="33F21595" w14:textId="77777777" w:rsidR="0028765A" w:rsidRDefault="0028765A" w:rsidP="00903045">
      <w:r>
        <w:t>For major disasters, the Australian Government may approve payments to individuals, such as the Australian Government Disaster Recovery Payment and Disaster Recovery Allowance. As natural disasters and their impacts are unpredictable, the cost of these payments for future disasters is unquantifiable and is not included in the forward estimates.</w:t>
      </w:r>
    </w:p>
    <w:p w14:paraId="6932CEF7" w14:textId="77777777" w:rsidR="0028765A" w:rsidRPr="00B832E0" w:rsidRDefault="0028765A" w:rsidP="001078E4">
      <w:pPr>
        <w:pStyle w:val="Heading4"/>
      </w:pPr>
      <w:r w:rsidRPr="00B832E0">
        <w:lastRenderedPageBreak/>
        <w:t>Facilities, garrison, transferee arrivals and reception, and health services in the Republic of Nauru – liability limit</w:t>
      </w:r>
      <w:bookmarkEnd w:id="127"/>
    </w:p>
    <w:p w14:paraId="5D3AD1C4" w14:textId="77777777" w:rsidR="0028765A" w:rsidRPr="00E95A11" w:rsidRDefault="0028765A" w:rsidP="00CE6FF1">
      <w:pPr>
        <w:rPr>
          <w:rFonts w:eastAsia="Book Antiqua"/>
        </w:rPr>
      </w:pPr>
      <w:r>
        <w:rPr>
          <w:rFonts w:eastAsia="Book Antiqua"/>
        </w:rPr>
        <w:t xml:space="preserve">The Department of Home Affairs entered </w:t>
      </w:r>
      <w:r w:rsidDel="0045436C">
        <w:rPr>
          <w:rFonts w:eastAsia="Book Antiqua"/>
        </w:rPr>
        <w:t xml:space="preserve">into </w:t>
      </w:r>
      <w:r>
        <w:t xml:space="preserve">two </w:t>
      </w:r>
      <w:r>
        <w:rPr>
          <w:rFonts w:eastAsia="Book Antiqua"/>
        </w:rPr>
        <w:t>contracts for the provision of services and facilities in the Republic of Nauru in relation to regional processing arrangements with the following entities:</w:t>
      </w:r>
    </w:p>
    <w:p w14:paraId="348E2598" w14:textId="4CDC09BF" w:rsidR="0028765A" w:rsidRPr="00F5415A" w:rsidRDefault="0028765A" w:rsidP="00F5415A">
      <w:pPr>
        <w:pStyle w:val="Bullet"/>
        <w:rPr>
          <w:rFonts w:eastAsia="Book Antiqua"/>
        </w:rPr>
      </w:pPr>
      <w:r>
        <w:rPr>
          <w:rFonts w:eastAsia="Book Antiqua"/>
        </w:rPr>
        <w:t xml:space="preserve">Management &amp; Training Corporation Pty Ltd </w:t>
      </w:r>
      <w:r>
        <w:t>(MTC), which commenced on 1</w:t>
      </w:r>
      <w:r w:rsidR="00D9795C">
        <w:t> </w:t>
      </w:r>
      <w:r w:rsidR="00D9795C" w:rsidRPr="00F5415A">
        <w:t>October </w:t>
      </w:r>
      <w:r w:rsidRPr="00F5415A">
        <w:t>2022, for the provision of facilities, garrison and transferee arrival and reception services. The contract includes a provision that limits MTC</w:t>
      </w:r>
      <w:r w:rsidR="00D737F9">
        <w:t>’</w:t>
      </w:r>
      <w:r w:rsidRPr="00F5415A">
        <w:t>s liability to the Commonwealth to a maximum of $200 million in aggregate for the term of the contract.</w:t>
      </w:r>
      <w:r w:rsidRPr="00F5415A">
        <w:rPr>
          <w:rFonts w:eastAsia="Book Antiqua"/>
        </w:rPr>
        <w:t xml:space="preserve"> </w:t>
      </w:r>
      <w:r w:rsidRPr="00F5415A">
        <w:t>The limitation of liability does not apply to loss arising from claims in relation to death or bodily injury, disease or illness of any person caused by MTC</w:t>
      </w:r>
      <w:r w:rsidR="00D737F9">
        <w:t>’</w:t>
      </w:r>
      <w:r w:rsidRPr="00F5415A">
        <w:t>s breach of contract, negligent act or omission, wilful default, or breach of law. The limitation of liability also does not apply to loss arising from: criminal acts, malicious damage or wilful default of the service provider or its subcontractors; statutory penalties; breach of privacy legislation; breach of confidentiality; third party claims in relation to infringement of intellectual property rights; or claims brought by third parties to the extent they are caused by the breach of contract, wilful default, or negligence of the service provider.</w:t>
      </w:r>
    </w:p>
    <w:p w14:paraId="4C450672" w14:textId="6F922C18" w:rsidR="0028765A" w:rsidRPr="00F5415A" w:rsidRDefault="0028765A" w:rsidP="00EE4135">
      <w:pPr>
        <w:pStyle w:val="Bullet"/>
        <w:spacing w:after="240"/>
      </w:pPr>
      <w:r w:rsidRPr="00F5415A">
        <w:t>International Health and Medical Services Pty Ltd (IHMS), which commenced on 13 August 2022, for the provision of health services in the Republic of Nauru. The contract includes a provision that limits IHMS</w:t>
      </w:r>
      <w:r w:rsidR="00D737F9">
        <w:t>’</w:t>
      </w:r>
      <w:r w:rsidRPr="00F5415A">
        <w:t xml:space="preserve"> liability to the Commonwealth with an indemnity limit of no less than $45 million in respect of each and every occurrence, and in respect of product liability only, and in the aggregate for all occurrences arising during any one 12</w:t>
      </w:r>
      <w:r w:rsidR="00D737F9">
        <w:noBreakHyphen/>
      </w:r>
      <w:r w:rsidRPr="00F5415A">
        <w:t>month policy period. The limitation of liability does not apply to loss arising from claims in relation to death or bodily injury, disease or illness (including mental health) of any person caused by IHMS</w:t>
      </w:r>
      <w:r w:rsidR="00D737F9">
        <w:t>’</w:t>
      </w:r>
      <w:r w:rsidRPr="00F5415A">
        <w:t xml:space="preserve"> breach of contract, negligent act or omission, wilful default, or breach of law. The limitation of liability also does not apply to loss arising from: criminal acts, malicious damage or wilful default of the service provider or its subcontractors; statutory penalties; liability that cannot be excluded at </w:t>
      </w:r>
      <w:r w:rsidRPr="00EE4135">
        <w:t>law; breach of privacy legislation; breach of confidentiality; third party claims in relation to infringement of Intellectual Property Rights; or claims brought by third parties to the extent they are caused by the breach of contract, wilful default, or negligence of the service provider.</w:t>
      </w:r>
    </w:p>
    <w:p w14:paraId="0F150F2B" w14:textId="77777777" w:rsidR="0028765A" w:rsidRPr="00EE4135" w:rsidRDefault="0028765A" w:rsidP="00EE4135">
      <w:pPr>
        <w:pStyle w:val="Heading4"/>
        <w:rPr>
          <w:rFonts w:eastAsia="Arial"/>
        </w:rPr>
      </w:pPr>
      <w:bookmarkStart w:id="128" w:name="_Toc71117831"/>
      <w:r w:rsidRPr="00EE4135">
        <w:rPr>
          <w:rFonts w:eastAsia="Arial"/>
        </w:rPr>
        <w:t xml:space="preserve">Immigration detention services by state and territory governments </w:t>
      </w:r>
      <w:r w:rsidRPr="00EE4135">
        <w:rPr>
          <w:rFonts w:eastAsia="Calibri"/>
        </w:rPr>
        <w:t>–</w:t>
      </w:r>
      <w:r w:rsidRPr="00EE4135">
        <w:rPr>
          <w:rFonts w:eastAsia="Arial"/>
        </w:rPr>
        <w:t xml:space="preserve"> liability limit</w:t>
      </w:r>
      <w:bookmarkEnd w:id="128"/>
    </w:p>
    <w:p w14:paraId="35F3B099" w14:textId="77777777" w:rsidR="0028765A" w:rsidRDefault="0028765A" w:rsidP="00F5415A">
      <w:r w:rsidRPr="00CE6387">
        <w:t xml:space="preserve">The Department of Home Affairs </w:t>
      </w:r>
      <w:r w:rsidRPr="00B832E0">
        <w:t xml:space="preserve">has negotiated arrangements with </w:t>
      </w:r>
      <w:r>
        <w:t>some</w:t>
      </w:r>
      <w:r w:rsidRPr="00B832E0">
        <w:t xml:space="preserve"> state and territory governments for the provision of various services (including</w:t>
      </w:r>
      <w:r>
        <w:t xml:space="preserve"> </w:t>
      </w:r>
      <w:r w:rsidRPr="00B832E0">
        <w:t xml:space="preserve">health, corrective and policing services) to immigration detention facilities and people in immigration detention. </w:t>
      </w:r>
    </w:p>
    <w:p w14:paraId="11522F10" w14:textId="63945D04" w:rsidR="001302D3" w:rsidRPr="006858B9" w:rsidRDefault="0028765A" w:rsidP="00F5415A">
      <w:r w:rsidRPr="00B832E0">
        <w:t xml:space="preserve">Some jurisdictions sought indemnification by the </w:t>
      </w:r>
      <w:r w:rsidR="001F3211">
        <w:t>Australian Government</w:t>
      </w:r>
      <w:r w:rsidRPr="00B832E0">
        <w:t xml:space="preserve"> for the provision of th</w:t>
      </w:r>
      <w:r>
        <w:t>ese</w:t>
      </w:r>
      <w:r w:rsidRPr="00B832E0">
        <w:t xml:space="preserve"> services. These agreements, listed below, provide unquantifiable indemnities relating to any damage or loss incurred by state and </w:t>
      </w:r>
      <w:r w:rsidRPr="006858B9">
        <w:t>territory governments arising out of, or incidental to, the provision of services under these agreements.</w:t>
      </w:r>
    </w:p>
    <w:tbl>
      <w:tblPr>
        <w:tblW w:w="5056" w:type="pct"/>
        <w:jc w:val="center"/>
        <w:tblBorders>
          <w:top w:val="single" w:sz="4" w:space="0" w:color="293F5B"/>
          <w:bottom w:val="single" w:sz="4" w:space="0" w:color="293F5B"/>
          <w:insideH w:val="single" w:sz="4" w:space="0" w:color="293F5B"/>
        </w:tblBorders>
        <w:tblLook w:val="01E0" w:firstRow="1" w:lastRow="1" w:firstColumn="1" w:lastColumn="1" w:noHBand="0" w:noVBand="0"/>
        <w:tblCaption w:val="Table"/>
      </w:tblPr>
      <w:tblGrid>
        <w:gridCol w:w="1984"/>
        <w:gridCol w:w="1985"/>
        <w:gridCol w:w="3828"/>
      </w:tblGrid>
      <w:tr w:rsidR="0028765A" w:rsidRPr="00B832E0" w14:paraId="682F96B4" w14:textId="77777777" w:rsidTr="00042053">
        <w:trPr>
          <w:trHeight w:val="263"/>
          <w:tblHeader/>
          <w:jc w:val="center"/>
        </w:trPr>
        <w:tc>
          <w:tcPr>
            <w:tcW w:w="1272" w:type="pct"/>
            <w:tcBorders>
              <w:top w:val="single" w:sz="4" w:space="0" w:color="002A54" w:themeColor="text2"/>
              <w:bottom w:val="single" w:sz="4" w:space="0" w:color="002A54" w:themeColor="text2"/>
            </w:tcBorders>
            <w:shd w:val="clear" w:color="auto" w:fill="E6F2FF"/>
          </w:tcPr>
          <w:p w14:paraId="5CF9AFC0" w14:textId="77777777" w:rsidR="0028765A" w:rsidRPr="00B832E0" w:rsidRDefault="0028765A" w:rsidP="00042053">
            <w:pPr>
              <w:pStyle w:val="TableColumnHeadingLeft"/>
              <w:rPr>
                <w:rFonts w:eastAsia="Arial"/>
              </w:rPr>
            </w:pPr>
            <w:r w:rsidRPr="00B832E0">
              <w:rPr>
                <w:rFonts w:eastAsia="Arial"/>
              </w:rPr>
              <w:lastRenderedPageBreak/>
              <w:t>Jurisdiction</w:t>
            </w:r>
          </w:p>
        </w:tc>
        <w:tc>
          <w:tcPr>
            <w:tcW w:w="1273" w:type="pct"/>
            <w:tcBorders>
              <w:top w:val="single" w:sz="4" w:space="0" w:color="002A54" w:themeColor="text2"/>
              <w:bottom w:val="single" w:sz="4" w:space="0" w:color="002A54" w:themeColor="text2"/>
            </w:tcBorders>
            <w:shd w:val="clear" w:color="auto" w:fill="E6F2FF"/>
          </w:tcPr>
          <w:p w14:paraId="71D82E64" w14:textId="77777777" w:rsidR="0028765A" w:rsidRPr="00B832E0" w:rsidRDefault="0028765A" w:rsidP="00042053">
            <w:pPr>
              <w:pStyle w:val="TableColumnHeadingLeft"/>
              <w:rPr>
                <w:rFonts w:eastAsia="Arial"/>
              </w:rPr>
            </w:pPr>
            <w:r w:rsidRPr="00B832E0">
              <w:rPr>
                <w:rFonts w:eastAsia="Arial"/>
              </w:rPr>
              <w:t>Service Stream</w:t>
            </w:r>
          </w:p>
        </w:tc>
        <w:tc>
          <w:tcPr>
            <w:tcW w:w="2455" w:type="pct"/>
            <w:tcBorders>
              <w:top w:val="single" w:sz="4" w:space="0" w:color="002A54" w:themeColor="text2"/>
              <w:bottom w:val="single" w:sz="4" w:space="0" w:color="002A54" w:themeColor="text2"/>
            </w:tcBorders>
            <w:shd w:val="clear" w:color="auto" w:fill="E6F2FF"/>
          </w:tcPr>
          <w:p w14:paraId="0D78A3C6" w14:textId="77777777" w:rsidR="0028765A" w:rsidRPr="00B832E0" w:rsidRDefault="0028765A" w:rsidP="00042053">
            <w:pPr>
              <w:pStyle w:val="TableColumnHeadingLeft"/>
              <w:rPr>
                <w:rFonts w:eastAsia="Arial"/>
              </w:rPr>
            </w:pPr>
            <w:r w:rsidRPr="00B832E0">
              <w:rPr>
                <w:rFonts w:eastAsia="Arial"/>
              </w:rPr>
              <w:t>Details</w:t>
            </w:r>
          </w:p>
        </w:tc>
      </w:tr>
      <w:tr w:rsidR="0028765A" w:rsidRPr="00B832E0" w:rsidDel="0077531E" w14:paraId="30354F15" w14:textId="77777777" w:rsidTr="00042053">
        <w:trPr>
          <w:trHeight w:val="227"/>
          <w:jc w:val="center"/>
        </w:trPr>
        <w:tc>
          <w:tcPr>
            <w:tcW w:w="1272" w:type="pct"/>
            <w:tcBorders>
              <w:bottom w:val="single" w:sz="4" w:space="0" w:color="293F5B"/>
            </w:tcBorders>
            <w:tcMar>
              <w:left w:w="108" w:type="dxa"/>
              <w:right w:w="108" w:type="dxa"/>
            </w:tcMar>
          </w:tcPr>
          <w:p w14:paraId="04B564F1" w14:textId="77777777" w:rsidR="0028765A" w:rsidRPr="00BE3D8E" w:rsidRDefault="0028765A" w:rsidP="00BE3D8E">
            <w:pPr>
              <w:pStyle w:val="TableTextLeft"/>
              <w:rPr>
                <w:rFonts w:eastAsia="Arial"/>
              </w:rPr>
            </w:pPr>
            <w:r w:rsidRPr="00BE3D8E">
              <w:rPr>
                <w:rFonts w:eastAsia="Arial"/>
              </w:rPr>
              <w:t>Christmas Island</w:t>
            </w:r>
          </w:p>
        </w:tc>
        <w:tc>
          <w:tcPr>
            <w:tcW w:w="1273" w:type="pct"/>
            <w:tcMar>
              <w:left w:w="108" w:type="dxa"/>
              <w:right w:w="108" w:type="dxa"/>
            </w:tcMar>
          </w:tcPr>
          <w:p w14:paraId="3DEE1418" w14:textId="77777777" w:rsidR="0028765A" w:rsidRPr="00BE3D8E" w:rsidRDefault="0028765A" w:rsidP="00BE3D8E">
            <w:pPr>
              <w:pStyle w:val="TableTextLeft"/>
              <w:rPr>
                <w:rFonts w:eastAsia="Arial"/>
              </w:rPr>
            </w:pPr>
            <w:r w:rsidRPr="00BE3D8E">
              <w:rPr>
                <w:rFonts w:eastAsia="Arial"/>
              </w:rPr>
              <w:t>Health</w:t>
            </w:r>
          </w:p>
        </w:tc>
        <w:tc>
          <w:tcPr>
            <w:tcW w:w="2455" w:type="pct"/>
            <w:tcMar>
              <w:left w:w="108" w:type="dxa"/>
              <w:right w:w="108" w:type="dxa"/>
            </w:tcMar>
          </w:tcPr>
          <w:p w14:paraId="7185AC71" w14:textId="77777777" w:rsidR="0028765A" w:rsidRPr="00BE3D8E" w:rsidDel="0077531E" w:rsidRDefault="0028765A" w:rsidP="00BE3D8E">
            <w:pPr>
              <w:pStyle w:val="TableTextLeft"/>
              <w:rPr>
                <w:rFonts w:eastAsia="Arial"/>
              </w:rPr>
            </w:pPr>
            <w:r w:rsidRPr="00BE3D8E">
              <w:rPr>
                <w:rFonts w:eastAsia="Arial"/>
              </w:rPr>
              <w:t>$5 million per claim or event</w:t>
            </w:r>
          </w:p>
        </w:tc>
      </w:tr>
      <w:tr w:rsidR="0028765A" w:rsidRPr="00B832E0" w14:paraId="61C8034C" w14:textId="77777777" w:rsidTr="00042053">
        <w:trPr>
          <w:trHeight w:val="227"/>
          <w:jc w:val="center"/>
        </w:trPr>
        <w:tc>
          <w:tcPr>
            <w:tcW w:w="1272" w:type="pct"/>
            <w:vMerge w:val="restart"/>
            <w:tcMar>
              <w:left w:w="108" w:type="dxa"/>
              <w:right w:w="108" w:type="dxa"/>
            </w:tcMar>
          </w:tcPr>
          <w:p w14:paraId="08279EFE" w14:textId="77777777" w:rsidR="0028765A" w:rsidRPr="00BE3D8E" w:rsidRDefault="0028765A" w:rsidP="00BE3D8E">
            <w:pPr>
              <w:pStyle w:val="TableTextLeft"/>
              <w:rPr>
                <w:rFonts w:eastAsia="Arial"/>
              </w:rPr>
            </w:pPr>
            <w:r w:rsidRPr="00BE3D8E">
              <w:rPr>
                <w:rFonts w:eastAsia="Arial"/>
              </w:rPr>
              <w:t>NSW</w:t>
            </w:r>
          </w:p>
        </w:tc>
        <w:tc>
          <w:tcPr>
            <w:tcW w:w="1273" w:type="pct"/>
            <w:tcMar>
              <w:left w:w="108" w:type="dxa"/>
              <w:right w:w="108" w:type="dxa"/>
            </w:tcMar>
          </w:tcPr>
          <w:p w14:paraId="730B18E3" w14:textId="77777777" w:rsidR="0028765A" w:rsidRPr="00BE3D8E" w:rsidRDefault="0028765A" w:rsidP="00BE3D8E">
            <w:pPr>
              <w:pStyle w:val="TableTextLeft"/>
              <w:rPr>
                <w:rFonts w:eastAsia="Arial"/>
              </w:rPr>
            </w:pPr>
            <w:r w:rsidRPr="00BE3D8E">
              <w:rPr>
                <w:rFonts w:eastAsia="Arial"/>
              </w:rPr>
              <w:t>Corrections</w:t>
            </w:r>
          </w:p>
        </w:tc>
        <w:tc>
          <w:tcPr>
            <w:tcW w:w="2455" w:type="pct"/>
            <w:tcMar>
              <w:left w:w="108" w:type="dxa"/>
              <w:right w:w="108" w:type="dxa"/>
            </w:tcMar>
          </w:tcPr>
          <w:p w14:paraId="0BC6B986" w14:textId="2B60A866" w:rsidR="0028765A" w:rsidRPr="00BE3D8E" w:rsidRDefault="0028765A" w:rsidP="00BE3D8E">
            <w:pPr>
              <w:pStyle w:val="TableTextLeft"/>
              <w:rPr>
                <w:rFonts w:eastAsia="Arial"/>
              </w:rPr>
            </w:pPr>
            <w:r w:rsidRPr="00BE3D8E">
              <w:rPr>
                <w:rFonts w:eastAsia="Arial"/>
              </w:rPr>
              <w:t>Uncapped – with a risk rating assessment, no</w:t>
            </w:r>
            <w:r w:rsidR="00F5415A">
              <w:rPr>
                <w:rFonts w:eastAsia="Arial"/>
              </w:rPr>
              <w:t> </w:t>
            </w:r>
            <w:r w:rsidRPr="00BE3D8E">
              <w:rPr>
                <w:rFonts w:eastAsia="Arial"/>
              </w:rPr>
              <w:t>more than $30 million per event</w:t>
            </w:r>
          </w:p>
        </w:tc>
      </w:tr>
      <w:tr w:rsidR="0028765A" w:rsidRPr="00B832E0" w14:paraId="03FA109E" w14:textId="77777777" w:rsidTr="00042053">
        <w:trPr>
          <w:trHeight w:val="227"/>
          <w:jc w:val="center"/>
        </w:trPr>
        <w:tc>
          <w:tcPr>
            <w:tcW w:w="1272" w:type="pct"/>
            <w:vMerge/>
            <w:tcMar>
              <w:left w:w="108" w:type="dxa"/>
              <w:right w:w="108" w:type="dxa"/>
            </w:tcMar>
          </w:tcPr>
          <w:p w14:paraId="51336E99" w14:textId="77777777" w:rsidR="0028765A" w:rsidRPr="00BE3D8E" w:rsidRDefault="0028765A" w:rsidP="00BE3D8E">
            <w:pPr>
              <w:pStyle w:val="TableTextLeft"/>
              <w:rPr>
                <w:rFonts w:eastAsia="Arial"/>
              </w:rPr>
            </w:pPr>
          </w:p>
        </w:tc>
        <w:tc>
          <w:tcPr>
            <w:tcW w:w="1273" w:type="pct"/>
            <w:tcMar>
              <w:left w:w="108" w:type="dxa"/>
              <w:right w:w="108" w:type="dxa"/>
            </w:tcMar>
          </w:tcPr>
          <w:p w14:paraId="3D26C451" w14:textId="77777777" w:rsidR="0028765A" w:rsidRPr="00BE3D8E" w:rsidRDefault="0028765A" w:rsidP="00BE3D8E">
            <w:pPr>
              <w:pStyle w:val="TableTextLeft"/>
              <w:rPr>
                <w:rFonts w:eastAsia="Arial"/>
              </w:rPr>
            </w:pPr>
            <w:r w:rsidRPr="00BE3D8E">
              <w:rPr>
                <w:rFonts w:eastAsia="Arial"/>
              </w:rPr>
              <w:t>Police</w:t>
            </w:r>
          </w:p>
        </w:tc>
        <w:tc>
          <w:tcPr>
            <w:tcW w:w="2455" w:type="pct"/>
            <w:tcMar>
              <w:left w:w="108" w:type="dxa"/>
              <w:right w:w="108" w:type="dxa"/>
            </w:tcMar>
          </w:tcPr>
          <w:p w14:paraId="13461E03" w14:textId="77777777" w:rsidR="0028765A" w:rsidRPr="00BE3D8E" w:rsidRDefault="0028765A" w:rsidP="00BE3D8E">
            <w:pPr>
              <w:pStyle w:val="TableTextLeft"/>
              <w:rPr>
                <w:rFonts w:eastAsia="Arial"/>
              </w:rPr>
            </w:pPr>
            <w:r w:rsidRPr="00BE3D8E">
              <w:rPr>
                <w:rFonts w:eastAsia="Arial"/>
              </w:rPr>
              <w:t>$5 million per claim or event</w:t>
            </w:r>
          </w:p>
        </w:tc>
      </w:tr>
      <w:tr w:rsidR="0028765A" w:rsidRPr="00B832E0" w14:paraId="53145600" w14:textId="77777777" w:rsidTr="00042053">
        <w:trPr>
          <w:trHeight w:val="227"/>
          <w:jc w:val="center"/>
        </w:trPr>
        <w:tc>
          <w:tcPr>
            <w:tcW w:w="1272" w:type="pct"/>
            <w:tcBorders>
              <w:top w:val="single" w:sz="4" w:space="0" w:color="002A54" w:themeColor="text2"/>
              <w:bottom w:val="single" w:sz="4" w:space="0" w:color="002A54" w:themeColor="text2"/>
            </w:tcBorders>
            <w:tcMar>
              <w:left w:w="108" w:type="dxa"/>
              <w:right w:w="108" w:type="dxa"/>
            </w:tcMar>
          </w:tcPr>
          <w:p w14:paraId="2B5C215E" w14:textId="77777777" w:rsidR="0028765A" w:rsidRPr="00BE3D8E" w:rsidRDefault="0028765A" w:rsidP="00BE3D8E">
            <w:pPr>
              <w:pStyle w:val="TableTextLeft"/>
              <w:rPr>
                <w:rFonts w:eastAsia="Arial"/>
              </w:rPr>
            </w:pPr>
            <w:r w:rsidRPr="00BE3D8E">
              <w:rPr>
                <w:rFonts w:eastAsia="Arial"/>
              </w:rPr>
              <w:t>QLD</w:t>
            </w:r>
          </w:p>
        </w:tc>
        <w:tc>
          <w:tcPr>
            <w:tcW w:w="1273" w:type="pct"/>
            <w:tcBorders>
              <w:top w:val="single" w:sz="4" w:space="0" w:color="002A54" w:themeColor="text2"/>
              <w:bottom w:val="single" w:sz="4" w:space="0" w:color="002A54" w:themeColor="text2"/>
            </w:tcBorders>
            <w:tcMar>
              <w:left w:w="108" w:type="dxa"/>
              <w:right w:w="108" w:type="dxa"/>
            </w:tcMar>
          </w:tcPr>
          <w:p w14:paraId="0878CDD2" w14:textId="77777777" w:rsidR="0028765A" w:rsidRPr="00BE3D8E" w:rsidRDefault="0028765A" w:rsidP="00BE3D8E">
            <w:pPr>
              <w:pStyle w:val="TableTextLeft"/>
              <w:rPr>
                <w:rFonts w:eastAsia="Arial"/>
              </w:rPr>
            </w:pPr>
            <w:r w:rsidRPr="00BE3D8E">
              <w:rPr>
                <w:rFonts w:eastAsia="Arial"/>
              </w:rPr>
              <w:t>Police</w:t>
            </w:r>
          </w:p>
        </w:tc>
        <w:tc>
          <w:tcPr>
            <w:tcW w:w="2455" w:type="pct"/>
            <w:tcBorders>
              <w:top w:val="single" w:sz="4" w:space="0" w:color="002A54" w:themeColor="text2"/>
              <w:bottom w:val="single" w:sz="4" w:space="0" w:color="002A54" w:themeColor="text2"/>
            </w:tcBorders>
            <w:tcMar>
              <w:left w:w="108" w:type="dxa"/>
              <w:right w:w="108" w:type="dxa"/>
            </w:tcMar>
          </w:tcPr>
          <w:p w14:paraId="1D7CAD62" w14:textId="77777777" w:rsidR="0028765A" w:rsidRPr="00BE3D8E" w:rsidRDefault="0028765A" w:rsidP="00BE3D8E">
            <w:pPr>
              <w:pStyle w:val="TableTextLeft"/>
              <w:rPr>
                <w:rFonts w:eastAsia="Arial"/>
              </w:rPr>
            </w:pPr>
            <w:r w:rsidRPr="00BE3D8E">
              <w:rPr>
                <w:rFonts w:eastAsia="Arial"/>
              </w:rPr>
              <w:t>$5 million per claim or event</w:t>
            </w:r>
          </w:p>
        </w:tc>
      </w:tr>
      <w:tr w:rsidR="0028765A" w:rsidRPr="00B832E0" w14:paraId="79E87CB2" w14:textId="77777777" w:rsidTr="00042053">
        <w:trPr>
          <w:trHeight w:val="227"/>
          <w:jc w:val="center"/>
        </w:trPr>
        <w:tc>
          <w:tcPr>
            <w:tcW w:w="1272" w:type="pct"/>
            <w:tcBorders>
              <w:top w:val="single" w:sz="4" w:space="0" w:color="002A54" w:themeColor="text2"/>
              <w:bottom w:val="single" w:sz="4" w:space="0" w:color="002A54" w:themeColor="text2"/>
            </w:tcBorders>
            <w:tcMar>
              <w:left w:w="108" w:type="dxa"/>
              <w:right w:w="108" w:type="dxa"/>
            </w:tcMar>
          </w:tcPr>
          <w:p w14:paraId="4E343031" w14:textId="77777777" w:rsidR="0028765A" w:rsidRPr="00BE3D8E" w:rsidRDefault="0028765A" w:rsidP="00BE3D8E">
            <w:pPr>
              <w:pStyle w:val="TableTextLeft"/>
              <w:rPr>
                <w:rFonts w:eastAsia="Arial"/>
              </w:rPr>
            </w:pPr>
            <w:r w:rsidRPr="00BE3D8E">
              <w:rPr>
                <w:rFonts w:eastAsia="Arial"/>
              </w:rPr>
              <w:t>SA</w:t>
            </w:r>
          </w:p>
        </w:tc>
        <w:tc>
          <w:tcPr>
            <w:tcW w:w="1273" w:type="pct"/>
            <w:tcBorders>
              <w:top w:val="single" w:sz="4" w:space="0" w:color="002A54" w:themeColor="text2"/>
              <w:bottom w:val="single" w:sz="4" w:space="0" w:color="002A54" w:themeColor="text2"/>
            </w:tcBorders>
            <w:tcMar>
              <w:left w:w="108" w:type="dxa"/>
              <w:right w:w="108" w:type="dxa"/>
            </w:tcMar>
          </w:tcPr>
          <w:p w14:paraId="43299ABF" w14:textId="77777777" w:rsidR="0028765A" w:rsidRPr="00BE3D8E" w:rsidRDefault="0028765A" w:rsidP="00BE3D8E">
            <w:pPr>
              <w:pStyle w:val="TableTextLeft"/>
              <w:rPr>
                <w:rFonts w:eastAsia="Arial"/>
              </w:rPr>
            </w:pPr>
            <w:r w:rsidRPr="00BE3D8E">
              <w:rPr>
                <w:rFonts w:eastAsia="Arial"/>
              </w:rPr>
              <w:t>Police</w:t>
            </w:r>
          </w:p>
        </w:tc>
        <w:tc>
          <w:tcPr>
            <w:tcW w:w="2455" w:type="pct"/>
            <w:tcBorders>
              <w:top w:val="single" w:sz="4" w:space="0" w:color="002A54" w:themeColor="text2"/>
              <w:bottom w:val="single" w:sz="4" w:space="0" w:color="002A54" w:themeColor="text2"/>
            </w:tcBorders>
            <w:tcMar>
              <w:left w:w="108" w:type="dxa"/>
              <w:right w:w="108" w:type="dxa"/>
            </w:tcMar>
          </w:tcPr>
          <w:p w14:paraId="2E226E26" w14:textId="77777777" w:rsidR="0028765A" w:rsidRPr="00BE3D8E" w:rsidRDefault="0028765A" w:rsidP="00BE3D8E">
            <w:pPr>
              <w:pStyle w:val="TableTextLeft"/>
              <w:rPr>
                <w:rFonts w:eastAsia="Arial"/>
              </w:rPr>
            </w:pPr>
            <w:r w:rsidRPr="00BE3D8E">
              <w:rPr>
                <w:rFonts w:eastAsia="Arial"/>
              </w:rPr>
              <w:t>$5 million per claim or event</w:t>
            </w:r>
          </w:p>
        </w:tc>
      </w:tr>
      <w:tr w:rsidR="0028765A" w:rsidRPr="00B832E0" w14:paraId="7CF8030C" w14:textId="77777777" w:rsidTr="00042053">
        <w:trPr>
          <w:trHeight w:val="227"/>
          <w:jc w:val="center"/>
        </w:trPr>
        <w:tc>
          <w:tcPr>
            <w:tcW w:w="1272" w:type="pct"/>
            <w:tcMar>
              <w:left w:w="108" w:type="dxa"/>
              <w:right w:w="108" w:type="dxa"/>
            </w:tcMar>
          </w:tcPr>
          <w:p w14:paraId="6704B126" w14:textId="77777777" w:rsidR="0028765A" w:rsidRPr="00BE3D8E" w:rsidRDefault="0028765A" w:rsidP="00BE3D8E">
            <w:pPr>
              <w:pStyle w:val="TableTextLeft"/>
              <w:rPr>
                <w:rFonts w:eastAsia="Arial"/>
              </w:rPr>
            </w:pPr>
            <w:r w:rsidRPr="00BE3D8E">
              <w:rPr>
                <w:rFonts w:eastAsia="Arial"/>
              </w:rPr>
              <w:t>VIC</w:t>
            </w:r>
          </w:p>
        </w:tc>
        <w:tc>
          <w:tcPr>
            <w:tcW w:w="1273" w:type="pct"/>
            <w:tcMar>
              <w:left w:w="108" w:type="dxa"/>
              <w:right w:w="108" w:type="dxa"/>
            </w:tcMar>
          </w:tcPr>
          <w:p w14:paraId="3A0CDBA4" w14:textId="77777777" w:rsidR="0028765A" w:rsidRPr="00BE3D8E" w:rsidRDefault="0028765A" w:rsidP="00BE3D8E">
            <w:pPr>
              <w:pStyle w:val="TableTextLeft"/>
              <w:rPr>
                <w:rFonts w:eastAsia="Arial"/>
              </w:rPr>
            </w:pPr>
            <w:r w:rsidRPr="00BE3D8E">
              <w:rPr>
                <w:rFonts w:eastAsia="Arial"/>
              </w:rPr>
              <w:t>Police</w:t>
            </w:r>
          </w:p>
        </w:tc>
        <w:tc>
          <w:tcPr>
            <w:tcW w:w="2455" w:type="pct"/>
            <w:tcMar>
              <w:left w:w="108" w:type="dxa"/>
              <w:right w:w="108" w:type="dxa"/>
            </w:tcMar>
          </w:tcPr>
          <w:p w14:paraId="1A52FE71" w14:textId="77777777" w:rsidR="0028765A" w:rsidRPr="00BE3D8E" w:rsidRDefault="0028765A" w:rsidP="00BE3D8E">
            <w:pPr>
              <w:pStyle w:val="TableTextLeft"/>
              <w:rPr>
                <w:rFonts w:eastAsia="Arial"/>
              </w:rPr>
            </w:pPr>
            <w:r w:rsidRPr="00BE3D8E">
              <w:rPr>
                <w:rFonts w:eastAsia="Arial"/>
              </w:rPr>
              <w:t>$5 million per claim or event</w:t>
            </w:r>
          </w:p>
        </w:tc>
      </w:tr>
      <w:tr w:rsidR="0028765A" w:rsidRPr="00B832E0" w14:paraId="0C11468A" w14:textId="77777777" w:rsidTr="00042053">
        <w:trPr>
          <w:trHeight w:val="227"/>
          <w:jc w:val="center"/>
        </w:trPr>
        <w:tc>
          <w:tcPr>
            <w:tcW w:w="1272" w:type="pct"/>
            <w:tcMar>
              <w:left w:w="108" w:type="dxa"/>
              <w:right w:w="108" w:type="dxa"/>
            </w:tcMar>
          </w:tcPr>
          <w:p w14:paraId="5199E6EF" w14:textId="77777777" w:rsidR="0028765A" w:rsidRPr="00BE3D8E" w:rsidRDefault="0028765A" w:rsidP="00BE3D8E">
            <w:pPr>
              <w:pStyle w:val="TableTextLeft"/>
              <w:rPr>
                <w:rFonts w:eastAsia="Arial"/>
              </w:rPr>
            </w:pPr>
            <w:r w:rsidRPr="00BE3D8E">
              <w:rPr>
                <w:rFonts w:eastAsia="Arial"/>
              </w:rPr>
              <w:t>WA</w:t>
            </w:r>
          </w:p>
        </w:tc>
        <w:tc>
          <w:tcPr>
            <w:tcW w:w="1273" w:type="pct"/>
            <w:tcMar>
              <w:left w:w="108" w:type="dxa"/>
              <w:right w:w="108" w:type="dxa"/>
            </w:tcMar>
          </w:tcPr>
          <w:p w14:paraId="183D372B" w14:textId="77777777" w:rsidR="0028765A" w:rsidRPr="00BE3D8E" w:rsidRDefault="0028765A" w:rsidP="00BE3D8E">
            <w:pPr>
              <w:pStyle w:val="TableTextLeft"/>
              <w:rPr>
                <w:rFonts w:eastAsia="Arial"/>
              </w:rPr>
            </w:pPr>
            <w:r w:rsidRPr="00BE3D8E">
              <w:rPr>
                <w:rFonts w:eastAsia="Arial"/>
              </w:rPr>
              <w:t>Police</w:t>
            </w:r>
          </w:p>
        </w:tc>
        <w:tc>
          <w:tcPr>
            <w:tcW w:w="2455" w:type="pct"/>
            <w:tcMar>
              <w:left w:w="108" w:type="dxa"/>
              <w:right w:w="108" w:type="dxa"/>
            </w:tcMar>
          </w:tcPr>
          <w:p w14:paraId="7F7A2603" w14:textId="77777777" w:rsidR="0028765A" w:rsidRPr="00BE3D8E" w:rsidRDefault="0028765A" w:rsidP="00BE3D8E">
            <w:pPr>
              <w:pStyle w:val="TableTextLeft"/>
              <w:rPr>
                <w:rFonts w:eastAsia="Arial"/>
              </w:rPr>
            </w:pPr>
            <w:r w:rsidRPr="00BE3D8E">
              <w:rPr>
                <w:rFonts w:eastAsia="Arial"/>
              </w:rPr>
              <w:t>$5 million per claim or event</w:t>
            </w:r>
          </w:p>
        </w:tc>
      </w:tr>
      <w:tr w:rsidR="0028765A" w:rsidRPr="00B832E0" w14:paraId="15D6FDF7" w14:textId="77777777" w:rsidTr="00042053">
        <w:trPr>
          <w:trHeight w:val="227"/>
          <w:jc w:val="center"/>
        </w:trPr>
        <w:tc>
          <w:tcPr>
            <w:tcW w:w="1272" w:type="pct"/>
            <w:tcMar>
              <w:left w:w="108" w:type="dxa"/>
              <w:right w:w="108" w:type="dxa"/>
            </w:tcMar>
          </w:tcPr>
          <w:p w14:paraId="0DCBE2F2" w14:textId="77777777" w:rsidR="0028765A" w:rsidRPr="00BE3D8E" w:rsidRDefault="0028765A" w:rsidP="00BE3D8E">
            <w:pPr>
              <w:pStyle w:val="TableTextLeft"/>
              <w:rPr>
                <w:rFonts w:eastAsia="Arial"/>
              </w:rPr>
            </w:pPr>
            <w:r w:rsidRPr="00BE3D8E">
              <w:rPr>
                <w:rFonts w:eastAsia="Arial"/>
              </w:rPr>
              <w:t>NT</w:t>
            </w:r>
          </w:p>
        </w:tc>
        <w:tc>
          <w:tcPr>
            <w:tcW w:w="1273" w:type="pct"/>
            <w:tcMar>
              <w:left w:w="108" w:type="dxa"/>
              <w:right w:w="108" w:type="dxa"/>
            </w:tcMar>
          </w:tcPr>
          <w:p w14:paraId="61CE03FA" w14:textId="77777777" w:rsidR="0028765A" w:rsidRPr="00BE3D8E" w:rsidRDefault="0028765A" w:rsidP="00BE3D8E">
            <w:pPr>
              <w:pStyle w:val="TableTextLeft"/>
              <w:rPr>
                <w:rFonts w:eastAsia="Arial"/>
              </w:rPr>
            </w:pPr>
            <w:r w:rsidRPr="00BE3D8E">
              <w:rPr>
                <w:rFonts w:eastAsia="Arial"/>
              </w:rPr>
              <w:t>Corrections</w:t>
            </w:r>
          </w:p>
        </w:tc>
        <w:tc>
          <w:tcPr>
            <w:tcW w:w="2455" w:type="pct"/>
            <w:tcMar>
              <w:left w:w="108" w:type="dxa"/>
              <w:right w:w="108" w:type="dxa"/>
            </w:tcMar>
          </w:tcPr>
          <w:p w14:paraId="377B7226" w14:textId="77777777" w:rsidR="0028765A" w:rsidRPr="00BE3D8E" w:rsidRDefault="0028765A" w:rsidP="00BE3D8E">
            <w:pPr>
              <w:pStyle w:val="TableTextLeft"/>
              <w:rPr>
                <w:rFonts w:eastAsia="Arial"/>
              </w:rPr>
            </w:pPr>
            <w:r w:rsidRPr="00BE3D8E">
              <w:rPr>
                <w:rFonts w:eastAsia="Arial"/>
              </w:rPr>
              <w:t>$5 million per claim or event</w:t>
            </w:r>
          </w:p>
        </w:tc>
      </w:tr>
    </w:tbl>
    <w:p w14:paraId="73D99E41" w14:textId="77777777" w:rsidR="0028765A" w:rsidRDefault="0028765A" w:rsidP="00F5415A">
      <w:r>
        <w:t xml:space="preserve">The Department of Home Affairs negotiates arrangements as necessary for the provision of corrective services. The indemnity provided to state and territory governments under these arrangements is no more than $30 million per event. </w:t>
      </w:r>
    </w:p>
    <w:p w14:paraId="7E992649" w14:textId="6C4C7E2C" w:rsidR="0028765A" w:rsidRPr="00B832E0" w:rsidRDefault="0028765A" w:rsidP="00F5415A">
      <w:r>
        <w:t xml:space="preserve">The status of each agreement with state and territory governments varies, such as </w:t>
      </w:r>
      <w:r w:rsidR="00D737F9">
        <w:t>‘</w:t>
      </w:r>
      <w:r w:rsidRPr="00FB4966">
        <w:t>in progress</w:t>
      </w:r>
      <w:r w:rsidR="00D737F9">
        <w:t>’</w:t>
      </w:r>
      <w:r w:rsidRPr="00FB4966">
        <w:t xml:space="preserve">, </w:t>
      </w:r>
      <w:r w:rsidR="00D737F9">
        <w:t>‘</w:t>
      </w:r>
      <w:r w:rsidRPr="00FB4966">
        <w:t>under review</w:t>
      </w:r>
      <w:r w:rsidR="00D737F9">
        <w:t>’</w:t>
      </w:r>
      <w:r w:rsidRPr="00FB4966">
        <w:t xml:space="preserve"> and </w:t>
      </w:r>
      <w:r w:rsidR="00D737F9">
        <w:t>‘</w:t>
      </w:r>
      <w:r w:rsidRPr="00FB4966">
        <w:t>legacy</w:t>
      </w:r>
      <w:r w:rsidR="00D737F9">
        <w:t>’</w:t>
      </w:r>
      <w:r>
        <w:t xml:space="preserve">. The table above sets out all known current agreements with confirmed indemnity liability in accordance with the </w:t>
      </w:r>
      <w:r w:rsidRPr="1BEC0AA8">
        <w:rPr>
          <w:i/>
          <w:iCs/>
        </w:rPr>
        <w:t>Public Governanc</w:t>
      </w:r>
      <w:r w:rsidRPr="00FB4966">
        <w:rPr>
          <w:i/>
          <w:iCs/>
        </w:rPr>
        <w:t>e</w:t>
      </w:r>
      <w:r w:rsidRPr="00FB4966">
        <w:rPr>
          <w:i/>
        </w:rPr>
        <w:t>,</w:t>
      </w:r>
      <w:r>
        <w:rPr>
          <w:i/>
        </w:rPr>
        <w:t xml:space="preserve"> </w:t>
      </w:r>
      <w:r w:rsidRPr="1BEC0AA8">
        <w:rPr>
          <w:i/>
          <w:iCs/>
        </w:rPr>
        <w:t>Performance and Accountability Act 2013.</w:t>
      </w:r>
    </w:p>
    <w:p w14:paraId="545EB654" w14:textId="77777777" w:rsidR="0028765A" w:rsidRPr="00B832E0" w:rsidRDefault="0028765A" w:rsidP="00EE4135">
      <w:pPr>
        <w:pStyle w:val="Heading4"/>
      </w:pPr>
      <w:r w:rsidRPr="00B832E0">
        <w:t xml:space="preserve">Immigration </w:t>
      </w:r>
      <w:r w:rsidRPr="00EE4135">
        <w:t>detention</w:t>
      </w:r>
      <w:r w:rsidRPr="00B832E0">
        <w:t xml:space="preserve"> services contract – liability limit</w:t>
      </w:r>
    </w:p>
    <w:p w14:paraId="50859F70" w14:textId="7C55740C" w:rsidR="0028765A" w:rsidRDefault="0028765A" w:rsidP="00F5415A">
      <w:r w:rsidRPr="00B832E0">
        <w:rPr>
          <w:rFonts w:eastAsia="Book Antiqua"/>
        </w:rPr>
        <w:t xml:space="preserve">The Department of Home Affairs </w:t>
      </w:r>
      <w:r w:rsidRPr="00B832E0">
        <w:t>entered into a contract with Serco Australia Pty Ltd (Serco), which commenced on 11 December 2014, to deliver immigration detention services in Australia on behalf of the Australian Government at immigration detention facilities. The contract limits Serco</w:t>
      </w:r>
      <w:r w:rsidR="00D737F9">
        <w:t>’</w:t>
      </w:r>
      <w:r w:rsidRPr="00B832E0">
        <w:t>s liability to the Commonwealth to a maximum of any insurance proceeds recovered by Serco up to a value of $330</w:t>
      </w:r>
      <w:r>
        <w:t> </w:t>
      </w:r>
      <w:r w:rsidRPr="00B832E0">
        <w:t>million for the term of the contract. Serco</w:t>
      </w:r>
      <w:r w:rsidR="00D737F9">
        <w:t>’</w:t>
      </w:r>
      <w:r w:rsidRPr="00B832E0">
        <w:t xml:space="preserve">s liability is unlimited for specific events defined under the contract. </w:t>
      </w:r>
    </w:p>
    <w:p w14:paraId="31426D3F" w14:textId="77777777" w:rsidR="0028765A" w:rsidRPr="00B832E0" w:rsidRDefault="0028765A" w:rsidP="00F5415A">
      <w:r w:rsidRPr="00B832E0">
        <w:br w:type="page"/>
      </w:r>
    </w:p>
    <w:p w14:paraId="06E956B9" w14:textId="77777777" w:rsidR="009D70F5" w:rsidRPr="00B832E0" w:rsidRDefault="009D70F5" w:rsidP="001078E4">
      <w:pPr>
        <w:pStyle w:val="Heading2"/>
      </w:pPr>
      <w:bookmarkStart w:id="129" w:name="_Toc166165518"/>
      <w:r w:rsidRPr="00B832E0">
        <w:lastRenderedPageBreak/>
        <w:t>Industry, Science and Resources</w:t>
      </w:r>
      <w:bookmarkEnd w:id="119"/>
      <w:bookmarkEnd w:id="129"/>
    </w:p>
    <w:p w14:paraId="59898A6D" w14:textId="77777777" w:rsidR="00D5132B" w:rsidRDefault="00D5132B" w:rsidP="001078E4">
      <w:pPr>
        <w:pStyle w:val="Heading3"/>
      </w:pPr>
      <w:bookmarkStart w:id="130" w:name="_Toc71117833"/>
      <w:bookmarkStart w:id="131" w:name="_Toc99141880"/>
      <w:bookmarkStart w:id="132" w:name="_Toc166165519"/>
      <w:bookmarkStart w:id="133" w:name="_Toc99141885"/>
      <w:r w:rsidRPr="00B832E0">
        <w:t>Fiscal Risk</w:t>
      </w:r>
      <w:bookmarkEnd w:id="130"/>
      <w:bookmarkEnd w:id="131"/>
      <w:bookmarkEnd w:id="132"/>
    </w:p>
    <w:p w14:paraId="0C90630C" w14:textId="77777777" w:rsidR="00D5132B" w:rsidRPr="00B832E0" w:rsidRDefault="00D5132B" w:rsidP="001078E4">
      <w:pPr>
        <w:pStyle w:val="Heading4"/>
      </w:pPr>
      <w:r w:rsidRPr="00B832E0">
        <w:t>Rehabilitation of the Ranger Uranium Mine</w:t>
      </w:r>
    </w:p>
    <w:p w14:paraId="1A3488F8" w14:textId="3AD88DCD" w:rsidR="00D5132B" w:rsidRPr="008A16E2" w:rsidRDefault="00D5132B" w:rsidP="00F5415A">
      <w:r>
        <w:t xml:space="preserve">The Australian Government approved the Ranger Uranium Mine (Ranger) in the late 1970s. Energy Resources of Australia Ltd (ERA) was authorised to mine uranium at Ranger until 2021, and is required to rehabilitate the site to achieve an environmental condition similar to adjacent areas. Pursuant to the renegotiated agreement between the </w:t>
      </w:r>
      <w:r w:rsidR="001F3211">
        <w:t>Australian</w:t>
      </w:r>
      <w:r w:rsidR="00F5415A">
        <w:t xml:space="preserve"> </w:t>
      </w:r>
      <w:r w:rsidR="001F3211">
        <w:t>Government</w:t>
      </w:r>
      <w:r>
        <w:t xml:space="preserve"> and the Northern Land Council, the </w:t>
      </w:r>
      <w:r w:rsidR="001F3211">
        <w:t>Australian Government</w:t>
      </w:r>
      <w:r>
        <w:t xml:space="preserve"> would be responsible for carrying out rehabilitation works at the Ranger site should ERA</w:t>
      </w:r>
      <w:r w:rsidR="00F5415A">
        <w:t xml:space="preserve"> </w:t>
      </w:r>
      <w:r>
        <w:t>fail to</w:t>
      </w:r>
      <w:r w:rsidR="00F5415A">
        <w:t> </w:t>
      </w:r>
      <w:r>
        <w:t xml:space="preserve">complete the works. ERA has provided a rehabilitation security to the </w:t>
      </w:r>
      <w:r w:rsidR="001F3211">
        <w:t>Australian</w:t>
      </w:r>
      <w:r w:rsidR="00F5415A">
        <w:t xml:space="preserve"> </w:t>
      </w:r>
      <w:r w:rsidR="001F3211">
        <w:t>Government</w:t>
      </w:r>
      <w:r>
        <w:t xml:space="preserve"> to cover the expected costs of rehabilitation should it be called upon.</w:t>
      </w:r>
    </w:p>
    <w:p w14:paraId="6C77621D" w14:textId="7E452B4D" w:rsidR="00D5132B" w:rsidRPr="008A16E2" w:rsidRDefault="00D5132B" w:rsidP="00F5415A">
      <w:pPr>
        <w:rPr>
          <w:rFonts w:eastAsia="Arial"/>
          <w:b/>
          <w:bCs/>
          <w:lang w:val="en-US"/>
        </w:rPr>
      </w:pPr>
      <w:r>
        <w:t>The rehabilitation security is revalued periodically based on estimated rehabilitation costs at a point in time, and ERA may be required to provide further security if necessary following a revaluation. The security currently reflects valuation assumptions as at</w:t>
      </w:r>
      <w:r w:rsidR="00D9795C">
        <w:t> March </w:t>
      </w:r>
      <w:r>
        <w:t>2020. Recent assessments of the rehabilitation costs undertaken by the Government indicate that the potential costs have increased significantly following the</w:t>
      </w:r>
      <w:r w:rsidR="006858B9">
        <w:t> </w:t>
      </w:r>
      <w:r>
        <w:t>last</w:t>
      </w:r>
      <w:r w:rsidR="006858B9">
        <w:t> </w:t>
      </w:r>
      <w:r>
        <w:t>security valuation (in</w:t>
      </w:r>
      <w:r w:rsidR="00D9795C">
        <w:t> March </w:t>
      </w:r>
      <w:r>
        <w:t>2020) and that, at present, the security held by the</w:t>
      </w:r>
      <w:r w:rsidR="006858B9">
        <w:t> </w:t>
      </w:r>
      <w:r w:rsidR="001F3211">
        <w:t>Australian Government</w:t>
      </w:r>
      <w:r>
        <w:t xml:space="preserve"> would not be sufficient to rehabilitate the site should the Australian Government be required to do so. The Government acknowledges the uncertainty in costing rehabilitation works beyond 2027 and the impact this has on the timing of the next security valuation. Until the security can be valued in light of the cost uncertainties being experienced by ERA, the difference between the expected rehabilitation costs and the security held by the Australian Government represents a fiscal risk to the</w:t>
      </w:r>
      <w:r w:rsidR="00F5415A">
        <w:t> </w:t>
      </w:r>
      <w:r>
        <w:t>Budget.</w:t>
      </w:r>
    </w:p>
    <w:p w14:paraId="3AFBF270" w14:textId="77777777" w:rsidR="00D5132B" w:rsidRPr="00B832E0" w:rsidRDefault="00D5132B" w:rsidP="001078E4">
      <w:pPr>
        <w:pStyle w:val="Heading3"/>
      </w:pPr>
      <w:bookmarkStart w:id="134" w:name="_Toc71117835"/>
      <w:bookmarkStart w:id="135" w:name="_Toc99141881"/>
      <w:bookmarkStart w:id="136" w:name="_Toc166165520"/>
      <w:r w:rsidRPr="00B832E0">
        <w:t>Significant but remote contingenc</w:t>
      </w:r>
      <w:bookmarkEnd w:id="134"/>
      <w:r w:rsidRPr="00B832E0">
        <w:t>ies</w:t>
      </w:r>
      <w:bookmarkEnd w:id="135"/>
      <w:bookmarkEnd w:id="136"/>
    </w:p>
    <w:p w14:paraId="6E908EEC" w14:textId="5A727C02" w:rsidR="00D5132B" w:rsidRPr="00B832E0" w:rsidRDefault="00D5132B" w:rsidP="001078E4">
      <w:pPr>
        <w:pStyle w:val="Heading4"/>
      </w:pPr>
      <w:bookmarkStart w:id="137" w:name="_Toc71117838"/>
      <w:r w:rsidRPr="00B832E0">
        <w:t>Liability for damages caused by space and certain high</w:t>
      </w:r>
      <w:r w:rsidR="00D737F9">
        <w:noBreakHyphen/>
      </w:r>
      <w:r w:rsidRPr="00B832E0">
        <w:t>power rocket activities</w:t>
      </w:r>
    </w:p>
    <w:p w14:paraId="3AC7E494" w14:textId="77777777" w:rsidR="00D5132B" w:rsidRPr="00B832E0" w:rsidRDefault="00D5132B" w:rsidP="00F5415A">
      <w:r w:rsidRPr="00B832E0">
        <w:t xml:space="preserve">Under the United Nations Convention on International Liability for Damage Caused by Space Objects, the Australian Government may be liable to pay compensation for damage caused to nationals of other countries by space objects launched from Australia, or by Australian nationals overseas. For activities approved under the </w:t>
      </w:r>
      <w:r w:rsidRPr="00B832E0">
        <w:rPr>
          <w:i/>
        </w:rPr>
        <w:t>Space (Launches and Returns) Act</w:t>
      </w:r>
      <w:r>
        <w:rPr>
          <w:i/>
        </w:rPr>
        <w:t> </w:t>
      </w:r>
      <w:r w:rsidRPr="00B832E0">
        <w:rPr>
          <w:i/>
        </w:rPr>
        <w:t>2018</w:t>
      </w:r>
      <w:r w:rsidRPr="00B832E0">
        <w:t xml:space="preserve"> the Government also accepts liability for damage suffered by Australian nationals, to a maximum value of $3 billion above an insured level.</w:t>
      </w:r>
    </w:p>
    <w:p w14:paraId="2198CA86" w14:textId="700835D4" w:rsidR="00D5132B" w:rsidRPr="00B832E0" w:rsidDel="00186710" w:rsidRDefault="00D5132B" w:rsidP="00F5415A">
      <w:r w:rsidRPr="00B832E0">
        <w:t>To address this risk, in order to have a space or high</w:t>
      </w:r>
      <w:r w:rsidR="00D737F9">
        <w:noBreakHyphen/>
      </w:r>
      <w:r w:rsidRPr="00B832E0">
        <w:t>power rocket activity approved under the</w:t>
      </w:r>
      <w:r w:rsidRPr="00B832E0" w:rsidDel="00283BBD">
        <w:t xml:space="preserve"> </w:t>
      </w:r>
      <w:r w:rsidRPr="00701427">
        <w:rPr>
          <w:i/>
        </w:rPr>
        <w:t>Space (Launches and Returns) Act</w:t>
      </w:r>
      <w:r w:rsidRPr="00283BBD">
        <w:rPr>
          <w:iCs/>
        </w:rPr>
        <w:t>, the</w:t>
      </w:r>
      <w:r w:rsidRPr="00B832E0">
        <w:t xml:space="preserve"> responsible party is required to insure against, or take financial responsibility for, damage to third parties. The amount of insurance or financial responsibility is capped at $100 million. </w:t>
      </w:r>
    </w:p>
    <w:p w14:paraId="7D9E3877" w14:textId="2F0591D5" w:rsidR="00D5132B" w:rsidRPr="00B832E0" w:rsidRDefault="00D5132B" w:rsidP="00F5415A">
      <w:r w:rsidRPr="00B832E0">
        <w:t>The</w:t>
      </w:r>
      <w:r>
        <w:t> </w:t>
      </w:r>
      <w:r w:rsidRPr="00701427">
        <w:rPr>
          <w:i/>
        </w:rPr>
        <w:t>Space (Launches and Returns) Act</w:t>
      </w:r>
      <w:r w:rsidRPr="00283BBD">
        <w:rPr>
          <w:iCs/>
        </w:rPr>
        <w:t xml:space="preserve"> provides</w:t>
      </w:r>
      <w:r w:rsidRPr="00B832E0">
        <w:t xml:space="preserve"> for amounts lower than $100</w:t>
      </w:r>
      <w:r>
        <w:t> </w:t>
      </w:r>
      <w:r w:rsidRPr="00B832E0">
        <w:t>million depending on the risk profile of the activity. A maximum probable loss methodology is also</w:t>
      </w:r>
      <w:r w:rsidR="00F5415A">
        <w:t> </w:t>
      </w:r>
      <w:r w:rsidRPr="00B832E0">
        <w:t>available to calculate the amount of insurance or financial responsibility.</w:t>
      </w:r>
    </w:p>
    <w:p w14:paraId="39E91981" w14:textId="77777777" w:rsidR="00D5132B" w:rsidRPr="00B832E0" w:rsidRDefault="00D5132B" w:rsidP="001078E4">
      <w:pPr>
        <w:pStyle w:val="Heading4"/>
      </w:pPr>
      <w:bookmarkStart w:id="138" w:name="_Toc71117839"/>
      <w:r w:rsidRPr="00B832E0">
        <w:lastRenderedPageBreak/>
        <w:t>Operations and maintenance of the Northern Endeavour and associated infrastructure</w:t>
      </w:r>
      <w:bookmarkEnd w:id="138"/>
    </w:p>
    <w:p w14:paraId="3E842F79" w14:textId="2DA58110" w:rsidR="00D5132B" w:rsidRPr="00341D42" w:rsidRDefault="00D5132B" w:rsidP="00F5415A">
      <w:r>
        <w:t>On 31</w:t>
      </w:r>
      <w:r w:rsidR="00D9795C">
        <w:t> March </w:t>
      </w:r>
      <w:r>
        <w:t>2022, Petrofac Facilities Management Limited (Petrofac) was engaged to deliver Phase One of the decommissioning of the Northern Endeavour. This will see the floating production storage and offtake facility (FPSO) disconnected from the sub</w:t>
      </w:r>
      <w:r w:rsidR="00D737F9">
        <w:noBreakHyphen/>
      </w:r>
      <w:r>
        <w:t>sea equipment and temporary suspension of the wells. On 30 September 2022, the operational control of the facility transitioned from Upstream Production Solutions Pty Ltd to Petrofac.</w:t>
      </w:r>
    </w:p>
    <w:p w14:paraId="701E04FA" w14:textId="7E76B11F" w:rsidR="00D5132B" w:rsidRPr="00B832E0" w:rsidRDefault="00D5132B" w:rsidP="00F5415A">
      <w:r w:rsidRPr="00B832E0">
        <w:t xml:space="preserve">The contract with Petrofac has adopted an industry standard </w:t>
      </w:r>
      <w:r w:rsidR="00D737F9">
        <w:t>“</w:t>
      </w:r>
      <w:r w:rsidRPr="00B832E0">
        <w:t>knock</w:t>
      </w:r>
      <w:r w:rsidR="00D737F9">
        <w:noBreakHyphen/>
      </w:r>
      <w:r w:rsidRPr="00B832E0">
        <w:t>for</w:t>
      </w:r>
      <w:r w:rsidR="00D737F9">
        <w:noBreakHyphen/>
      </w:r>
      <w:r w:rsidRPr="00B832E0">
        <w:t>knock</w:t>
      </w:r>
      <w:r w:rsidR="00D737F9">
        <w:t>”</w:t>
      </w:r>
      <w:r w:rsidRPr="00B832E0">
        <w:t xml:space="preserve"> risk and liability allocation arrangement, akin to the one with Upstream Production Solutions</w:t>
      </w:r>
      <w:r>
        <w:t xml:space="preserve"> Pty Ltd,</w:t>
      </w:r>
      <w:r w:rsidRPr="00B832E0">
        <w:t xml:space="preserve"> that positions risks so that they are borne by the party most likely to be able to financially manage the consequences of a risk materialising. Petrofac is liable, to a pre</w:t>
      </w:r>
      <w:r w:rsidR="00D737F9">
        <w:noBreakHyphen/>
      </w:r>
      <w:r w:rsidRPr="00B832E0">
        <w:t>determined cap, for several insured risks, including to property, pollution and the environment. Petrofac will also bear responsibility for some instances of loss or damage to the extent it is caused by Petrofac</w:t>
      </w:r>
      <w:r w:rsidR="00D737F9">
        <w:t>’</w:t>
      </w:r>
      <w:r w:rsidRPr="00B832E0">
        <w:t>s negligence or wilful misconduct.</w:t>
      </w:r>
    </w:p>
    <w:p w14:paraId="4AB1EAB9" w14:textId="15A473AB" w:rsidR="00D5132B" w:rsidRPr="00B832E0" w:rsidRDefault="00D5132B" w:rsidP="00F5415A">
      <w:r w:rsidRPr="00B832E0">
        <w:t>The Australian Government has obtained protection and indemnity, facility damage and control of well insurance, and taken out membership with oil spill response agencies. These limit the Government</w:t>
      </w:r>
      <w:r w:rsidR="00D737F9">
        <w:t>’</w:t>
      </w:r>
      <w:r w:rsidRPr="00B832E0">
        <w:t>s potential risk and financial exposure.</w:t>
      </w:r>
    </w:p>
    <w:p w14:paraId="26869772" w14:textId="77777777" w:rsidR="00D5132B" w:rsidRPr="00B832E0" w:rsidRDefault="00D5132B" w:rsidP="00F5415A">
      <w:r w:rsidRPr="00B832E0">
        <w:t>The risk of an incident is remote. The floating production storage offtake facility is being maintained with safety critical maintenance carried out, limited oil in storage and no further oil production taking place. The additional works to prepare for disconnection are not considered to materially increase the risk.</w:t>
      </w:r>
    </w:p>
    <w:p w14:paraId="146CBAE5" w14:textId="2DBF6D1C" w:rsidR="00D5132B" w:rsidRPr="00341D42" w:rsidRDefault="00D5132B" w:rsidP="00F5415A">
      <w:pPr>
        <w:rPr>
          <w:rFonts w:eastAsia="Arial"/>
          <w:b/>
          <w:lang w:val="en-US"/>
        </w:rPr>
      </w:pPr>
      <w:r w:rsidRPr="00B832E0">
        <w:t>The Australian Government has committed to decommission the Northern Endeavour FPSO and remediate the Laminaria</w:t>
      </w:r>
      <w:r w:rsidR="00D737F9">
        <w:noBreakHyphen/>
      </w:r>
      <w:r>
        <w:t>Corallina oil fields. The cost to deliver Phase One of the decommissioning, including the disconnection and disposal of the FPSO, is taken into account in the forward estimates. However, costs for the subsequent phases of the decommissioning</w:t>
      </w:r>
      <w:r w:rsidR="00E647CC">
        <w:t xml:space="preserve"> – </w:t>
      </w:r>
      <w:r>
        <w:t>the permanent plug and abandonment of the wells (Phase Two) and the removal of subsea infrastructure (Phase Three), which are estimated to commence over the forward estimates period</w:t>
      </w:r>
      <w:r w:rsidR="00E647CC">
        <w:t xml:space="preserve"> – </w:t>
      </w:r>
      <w:r>
        <w:t xml:space="preserve">are not able to be fully quantified until procurement activities for those Phases have been completed. Actual costs associated with Northern Endeavour decommissioning will be recovered through the </w:t>
      </w:r>
      <w:r w:rsidRPr="3A609570">
        <w:rPr>
          <w:i/>
          <w:iCs/>
        </w:rPr>
        <w:t xml:space="preserve">Offshore Petroleum (Laminaria and Corallina Decommissioning Cost Recovery Levy) Act </w:t>
      </w:r>
      <w:r w:rsidRPr="00B832E0">
        <w:rPr>
          <w:i/>
        </w:rPr>
        <w:t>2022</w:t>
      </w:r>
      <w:r w:rsidRPr="00B832E0">
        <w:t>.</w:t>
      </w:r>
    </w:p>
    <w:p w14:paraId="532A4DD7" w14:textId="77777777" w:rsidR="00DE27F8" w:rsidRPr="00F5415A" w:rsidRDefault="00DE27F8" w:rsidP="00F5415A">
      <w:bookmarkStart w:id="139" w:name="_Toc71117841"/>
      <w:bookmarkEnd w:id="137"/>
      <w:r w:rsidRPr="00F5415A">
        <w:br w:type="page"/>
      </w:r>
    </w:p>
    <w:p w14:paraId="52E6DAA4" w14:textId="2624219D" w:rsidR="00E93065" w:rsidRPr="00B832E0" w:rsidRDefault="00E93065" w:rsidP="00E93065">
      <w:pPr>
        <w:pStyle w:val="Heading3"/>
      </w:pPr>
      <w:bookmarkStart w:id="140" w:name="_Toc166165521"/>
      <w:r w:rsidRPr="00B832E0">
        <w:lastRenderedPageBreak/>
        <w:t>Contingent liabilities – unquantifiable</w:t>
      </w:r>
      <w:bookmarkEnd w:id="140"/>
    </w:p>
    <w:p w14:paraId="2A4AABCC" w14:textId="77777777" w:rsidR="00D5132B" w:rsidRPr="00B832E0" w:rsidRDefault="00D5132B" w:rsidP="001078E4">
      <w:pPr>
        <w:pStyle w:val="Heading4"/>
      </w:pPr>
      <w:r w:rsidRPr="00B832E0">
        <w:t>Australian Nuclear Science and Technology Organisation – asbestos contamination</w:t>
      </w:r>
      <w:bookmarkEnd w:id="139"/>
    </w:p>
    <w:p w14:paraId="0DAD8B54" w14:textId="05F24220" w:rsidR="00D5132B" w:rsidRDefault="00D5132B" w:rsidP="00F5415A">
      <w:bookmarkStart w:id="141" w:name="_Toc71117842"/>
      <w:r>
        <w:t>The Australian Nuclear Science and Technology Organisation (ANSTO) site contains asbestos in several buildings and in the soil at the Lucas Heights campus. Although there is potential for claims to be made in relation to asbestos</w:t>
      </w:r>
      <w:r w:rsidR="00D737F9">
        <w:noBreakHyphen/>
      </w:r>
      <w:r>
        <w:t>related diseases, the potential costs have not been assessed and are unquantifiable contingencies.</w:t>
      </w:r>
    </w:p>
    <w:p w14:paraId="55C6BD4D" w14:textId="77777777" w:rsidR="00D5132B" w:rsidRPr="00B832E0" w:rsidRDefault="00D5132B" w:rsidP="001078E4">
      <w:pPr>
        <w:pStyle w:val="Heading4"/>
      </w:pPr>
      <w:r w:rsidRPr="00B832E0">
        <w:t>Australian Nuclear Science and Technology Organisation – indemnity</w:t>
      </w:r>
      <w:bookmarkEnd w:id="141"/>
    </w:p>
    <w:p w14:paraId="44591E1F" w14:textId="0DCA0784" w:rsidR="00D5132B" w:rsidRPr="007265AC" w:rsidRDefault="00D5132B" w:rsidP="00F5415A">
      <w:r>
        <w:t>On 21</w:t>
      </w:r>
      <w:r w:rsidR="00D9795C">
        <w:t> April </w:t>
      </w:r>
      <w:r>
        <w:t>2016, the then Minister for Industry, Innovation and Science signed a Deed of Indemnity between the Australian Government, ANSTO and ANSTO Nuclear Medicine Pty Ltd (ANM), under which the Government formally agreed to indemnify ANSTO and ANSTO officers, and ANM and ANM officers, from any loss or liability arising from claims caused by ionising radiation. This Deed will remain in place until</w:t>
      </w:r>
      <w:r w:rsidR="00D9795C">
        <w:t> April </w:t>
      </w:r>
      <w:r>
        <w:t>2026.</w:t>
      </w:r>
    </w:p>
    <w:p w14:paraId="29E55B5D" w14:textId="77777777" w:rsidR="00D5132B" w:rsidRPr="00B832E0" w:rsidRDefault="00D5132B" w:rsidP="001078E4">
      <w:pPr>
        <w:pStyle w:val="Heading4"/>
      </w:pPr>
      <w:r w:rsidRPr="00B832E0">
        <w:t>Australian Nuclear Science and Technology Organisation – legacy waste management to final disposal</w:t>
      </w:r>
    </w:p>
    <w:p w14:paraId="5EEEB8EE" w14:textId="4C41571C" w:rsidR="00D5132B" w:rsidRPr="00167535" w:rsidRDefault="00D5132B" w:rsidP="00F5415A">
      <w:pPr>
        <w:rPr>
          <w:rFonts w:eastAsia="Arial"/>
          <w:b/>
          <w:bCs/>
          <w:lang w:val="en-US"/>
        </w:rPr>
      </w:pPr>
      <w:bookmarkStart w:id="142" w:name="_Toc71117843"/>
      <w:r>
        <w:t>ANSTO has accumulated, and will continue to accumulate, nuclear waste, the final disposal of which is unfunded. The majority of this waste has arisen from the production of</w:t>
      </w:r>
      <w:r w:rsidR="00F5415A">
        <w:t> </w:t>
      </w:r>
      <w:r>
        <w:t>nuclear medicine and will require characterisation in order to determine the nature of, and therefore the costs and timing required to manage, the waste to final disposal. It is anticipated that the long</w:t>
      </w:r>
      <w:r w:rsidR="00D737F9">
        <w:noBreakHyphen/>
      </w:r>
      <w:r>
        <w:t>term storage of the nuclear waste will be the responsibility of the National Radioactive Waste Management Facility. If this changes, ANSTO may need to meet the costs of the future management of the waste.</w:t>
      </w:r>
    </w:p>
    <w:p w14:paraId="07395A81" w14:textId="77777777" w:rsidR="00D5132B" w:rsidRPr="00B832E0" w:rsidRDefault="00D5132B" w:rsidP="001078E4">
      <w:pPr>
        <w:pStyle w:val="Heading4"/>
      </w:pPr>
      <w:r w:rsidRPr="00B832E0">
        <w:t>Former British atomic test site at Maralinga</w:t>
      </w:r>
      <w:bookmarkEnd w:id="142"/>
    </w:p>
    <w:p w14:paraId="3E51CAC0" w14:textId="22B48F85" w:rsidR="00D5132B" w:rsidRPr="00B832E0" w:rsidRDefault="00D5132B" w:rsidP="001078E4">
      <w:r w:rsidRPr="00B832E0">
        <w:t>The Australian Government is responsible for 14 unlimited indemnities relating to the</w:t>
      </w:r>
      <w:r w:rsidR="00F5415A">
        <w:t> </w:t>
      </w:r>
      <w:r w:rsidRPr="00B832E0">
        <w:t>Maralinga Rehabilitation Project</w:t>
      </w:r>
      <w:r>
        <w:t> </w:t>
      </w:r>
      <w:r w:rsidRPr="00B832E0">
        <w:t>(1995</w:t>
      </w:r>
      <w:r w:rsidR="00B932F2">
        <w:t>–</w:t>
      </w:r>
      <w:r w:rsidRPr="00B832E0">
        <w:t xml:space="preserve">2000). In November 2009, the </w:t>
      </w:r>
      <w:r w:rsidR="001F3211">
        <w:t>Australian</w:t>
      </w:r>
      <w:r w:rsidR="00F5415A">
        <w:t xml:space="preserve"> </w:t>
      </w:r>
      <w:r w:rsidR="001F3211">
        <w:t>Government</w:t>
      </w:r>
      <w:r w:rsidRPr="00B832E0">
        <w:t xml:space="preserve"> agreed to the handback of the former nuclear test site – Maralinga Section 400 – to the site</w:t>
      </w:r>
      <w:r w:rsidR="00D737F9">
        <w:t>’</w:t>
      </w:r>
      <w:r w:rsidRPr="00B832E0">
        <w:t xml:space="preserve">s Traditional Owners, Maralinga Tjarutja. Under the terms of the </w:t>
      </w:r>
      <w:r w:rsidRPr="00B832E0">
        <w:rPr>
          <w:i/>
        </w:rPr>
        <w:t>Maralinga Nuclear Test Site Handback Deed</w:t>
      </w:r>
      <w:r w:rsidRPr="00B832E0">
        <w:t xml:space="preserve">, the </w:t>
      </w:r>
      <w:r w:rsidR="001F3211">
        <w:t>Australian Government</w:t>
      </w:r>
      <w:r w:rsidRPr="00B832E0">
        <w:t xml:space="preserve"> has indemnified the Maralinga Tjarutja people and the South </w:t>
      </w:r>
      <w:r w:rsidR="001F3211">
        <w:t>Australian Government</w:t>
      </w:r>
      <w:r w:rsidRPr="00B832E0">
        <w:t xml:space="preserve"> in respect of claims arising from test site contamination.</w:t>
      </w:r>
    </w:p>
    <w:p w14:paraId="62DBF0F4" w14:textId="77777777" w:rsidR="00D5132B" w:rsidRPr="00B832E0" w:rsidRDefault="00D5132B" w:rsidP="001078E4">
      <w:pPr>
        <w:pStyle w:val="Heading4"/>
      </w:pPr>
      <w:bookmarkStart w:id="143" w:name="_Toc71117846"/>
      <w:r w:rsidRPr="00B832E0">
        <w:t>Land decontamination and site restoration for CSIRO property</w:t>
      </w:r>
      <w:bookmarkEnd w:id="143"/>
    </w:p>
    <w:p w14:paraId="2AB7AC3D" w14:textId="77777777" w:rsidR="00D5132B" w:rsidRDefault="00D5132B" w:rsidP="00F5415A">
      <w:r w:rsidRPr="00B832E0">
        <w:t>The Commonwealth Scientific and Industrial Research Organisation (CSIRO) has made a financial provision for the estimated costs in restoring and decontaminating land where a legal or constructive obligation has arisen. For cases where there is no legal or constructive obligation, the potential costs have not been assessed and are unquantifiable contingencies.</w:t>
      </w:r>
    </w:p>
    <w:p w14:paraId="635773B4" w14:textId="77777777" w:rsidR="00D5132B" w:rsidRPr="00B832E0" w:rsidRDefault="00D5132B" w:rsidP="001078E4">
      <w:pPr>
        <w:spacing w:before="0" w:after="160" w:line="259" w:lineRule="auto"/>
      </w:pPr>
      <w:r w:rsidRPr="00B832E0">
        <w:br w:type="page"/>
      </w:r>
    </w:p>
    <w:p w14:paraId="05885143" w14:textId="77777777" w:rsidR="009D70F5" w:rsidRPr="00B832E0" w:rsidRDefault="009D70F5" w:rsidP="001078E4">
      <w:pPr>
        <w:pStyle w:val="Heading2"/>
      </w:pPr>
      <w:bookmarkStart w:id="144" w:name="_Toc166165522"/>
      <w:r w:rsidRPr="00B832E0">
        <w:lastRenderedPageBreak/>
        <w:t>Infrastructure, Transport, Regional Development, Communications</w:t>
      </w:r>
      <w:bookmarkEnd w:id="133"/>
      <w:r w:rsidRPr="00B832E0">
        <w:t xml:space="preserve"> and the Arts</w:t>
      </w:r>
      <w:bookmarkEnd w:id="144"/>
    </w:p>
    <w:p w14:paraId="3483E5F1" w14:textId="77777777" w:rsidR="00DD4DE1" w:rsidRDefault="00DD4DE1" w:rsidP="001078E4">
      <w:pPr>
        <w:pStyle w:val="Heading3"/>
      </w:pPr>
      <w:bookmarkStart w:id="145" w:name="_Toc166165523"/>
      <w:bookmarkStart w:id="146" w:name="_Toc71117852"/>
      <w:bookmarkStart w:id="147" w:name="_Toc71117853"/>
      <w:bookmarkStart w:id="148" w:name="_Toc99141890"/>
      <w:r>
        <w:t>Fiscal Risks</w:t>
      </w:r>
      <w:bookmarkEnd w:id="145"/>
    </w:p>
    <w:p w14:paraId="43191429" w14:textId="223E9A5A" w:rsidR="00DD4DE1" w:rsidRPr="00BE6C2E" w:rsidRDefault="00DD4DE1" w:rsidP="001078E4">
      <w:pPr>
        <w:pStyle w:val="Heading4"/>
        <w:rPr>
          <w:rFonts w:eastAsia="Arial"/>
          <w:lang w:val="en-US"/>
        </w:rPr>
      </w:pPr>
      <w:r w:rsidRPr="00BE6C2E">
        <w:rPr>
          <w:rFonts w:eastAsia="Arial"/>
          <w:lang w:val="en-US"/>
        </w:rPr>
        <w:t>Australia Post</w:t>
      </w:r>
      <w:r w:rsidR="00D737F9">
        <w:rPr>
          <w:rFonts w:eastAsia="Arial"/>
          <w:lang w:val="en-US"/>
        </w:rPr>
        <w:t>’</w:t>
      </w:r>
      <w:r w:rsidRPr="00BE6C2E">
        <w:rPr>
          <w:rFonts w:eastAsia="Arial"/>
          <w:lang w:val="en-US"/>
        </w:rPr>
        <w:t>s financial stability</w:t>
      </w:r>
    </w:p>
    <w:p w14:paraId="342738EB" w14:textId="588138CB" w:rsidR="00DD4DE1" w:rsidRPr="00737112" w:rsidRDefault="00DD4DE1" w:rsidP="00F5415A">
      <w:r>
        <w:t xml:space="preserve">Australia Post is a Government Business Enterprise wholly owned by the </w:t>
      </w:r>
      <w:r w:rsidR="001F3211">
        <w:t>Australian Government</w:t>
      </w:r>
      <w:r>
        <w:t>. In the 2022–23 financial year, Australia Post reported a full financial year pre</w:t>
      </w:r>
      <w:r w:rsidR="00D737F9">
        <w:noBreakHyphen/>
      </w:r>
      <w:r>
        <w:t>tax loss of $200</w:t>
      </w:r>
      <w:r w:rsidR="00677611">
        <w:t> </w:t>
      </w:r>
      <w:r>
        <w:t>million. This is Australia Post</w:t>
      </w:r>
      <w:r w:rsidR="00D737F9">
        <w:t>’</w:t>
      </w:r>
      <w:r>
        <w:t xml:space="preserve">s first annual loss since 2014–15. It reflects the way in which digitisation of the global and national economy is changing how many people and businesses use postal and related services. Australia Post does not receive financial support from the </w:t>
      </w:r>
      <w:r w:rsidR="001F3211">
        <w:t>Australian Government</w:t>
      </w:r>
      <w:r>
        <w:t xml:space="preserve"> but is required to meet a range of Community Service Obligations.</w:t>
      </w:r>
    </w:p>
    <w:p w14:paraId="5FBF68E9" w14:textId="4E05FAF7" w:rsidR="00DD4DE1" w:rsidRPr="00737112" w:rsidRDefault="00DD4DE1" w:rsidP="00F5415A">
      <w:r>
        <w:t xml:space="preserve"> On 6</w:t>
      </w:r>
      <w:r w:rsidR="00D9795C">
        <w:t> December </w:t>
      </w:r>
      <w:r>
        <w:t xml:space="preserve">2023, the </w:t>
      </w:r>
      <w:r w:rsidR="001F3211">
        <w:t>Australian Government</w:t>
      </w:r>
      <w:r>
        <w:t xml:space="preserve"> announced a package of reforms to enable Australia Post to boost productivity, increase its focus on parcel delivery services, and improve financial sustainability. The Government will monitor the implementation of these reforms to assess whether they achieve meaningful financial benefits as intended.</w:t>
      </w:r>
    </w:p>
    <w:p w14:paraId="4D288ECE" w14:textId="11B2977F" w:rsidR="00DD4DE1" w:rsidRPr="00737112" w:rsidRDefault="00DD4DE1" w:rsidP="00F5415A">
      <w:pPr>
        <w:rPr>
          <w:rFonts w:eastAsia="Arial"/>
          <w:b/>
          <w:bCs/>
          <w:lang w:val="en-US"/>
        </w:rPr>
      </w:pPr>
      <w:r>
        <w:t>Given the uncertainty surrounding Australia Post</w:t>
      </w:r>
      <w:r w:rsidR="00D737F9">
        <w:t>’</w:t>
      </w:r>
      <w:r>
        <w:t xml:space="preserve">s financial position, there is a risk that the </w:t>
      </w:r>
      <w:r w:rsidR="001F3211">
        <w:t>Australian Government</w:t>
      </w:r>
      <w:r>
        <w:t xml:space="preserve"> will need to consider providing financial assistance to Australia Post in the future.</w:t>
      </w:r>
    </w:p>
    <w:p w14:paraId="27FB5EB6" w14:textId="77777777" w:rsidR="00DD4DE1" w:rsidRPr="00B832E0" w:rsidRDefault="00DD4DE1" w:rsidP="001078E4">
      <w:pPr>
        <w:pStyle w:val="Heading4"/>
      </w:pPr>
      <w:r w:rsidRPr="00B832E0">
        <w:t>Inland Rail – delivery</w:t>
      </w:r>
      <w:bookmarkEnd w:id="146"/>
    </w:p>
    <w:p w14:paraId="716D38D7" w14:textId="12ADDBE2" w:rsidR="00DD4DE1" w:rsidRPr="00FC623D" w:rsidRDefault="00DD4DE1" w:rsidP="00F5415A">
      <w:r>
        <w:t>In</w:t>
      </w:r>
      <w:r w:rsidR="00D9795C">
        <w:t> April </w:t>
      </w:r>
      <w:r>
        <w:t xml:space="preserve">2023, the </w:t>
      </w:r>
      <w:r w:rsidR="001F3211">
        <w:t>Australian Government</w:t>
      </w:r>
      <w:r>
        <w:t xml:space="preserve"> released the findings of the Independent Review of Inland Rail (the Review) and agreed to the 19 recommendations in full or in principle. The Review assessed the project</w:t>
      </w:r>
      <w:r w:rsidR="00D737F9">
        <w:t>’</w:t>
      </w:r>
      <w:r>
        <w:t>s scope, schedule and cost. While final project costs will not be known until the completion of procurement for all sections of Inland Rail, following finalisation of design, planning and gaining environmental approvals, the Review identified that the estimated cost to complete Inland Rail will be significantly higher than the available funding.</w:t>
      </w:r>
    </w:p>
    <w:p w14:paraId="062A9050" w14:textId="4012FC75" w:rsidR="00DD4DE1" w:rsidRPr="00FC623D" w:rsidRDefault="00DD4DE1" w:rsidP="00F5415A">
      <w:r>
        <w:t xml:space="preserve">The </w:t>
      </w:r>
      <w:r w:rsidR="001F3211">
        <w:t>Australian Government</w:t>
      </w:r>
      <w:r>
        <w:t xml:space="preserve"> </w:t>
      </w:r>
      <w:r w:rsidR="00DE0EE4">
        <w:t>will</w:t>
      </w:r>
      <w:r>
        <w:t xml:space="preserve"> work with independent specialists to review the cost, scope, engineering, delivery models and schedule of the project. In the interim, Inland Rail Pty Ltd (IRPL) is prioritising the delivery of sections from Beveridge to Parkes.</w:t>
      </w:r>
    </w:p>
    <w:p w14:paraId="29EEF873" w14:textId="4AACA8B6" w:rsidR="00DD4DE1" w:rsidRPr="00C8388F" w:rsidRDefault="00DD4DE1" w:rsidP="00F5415A">
      <w:pPr>
        <w:rPr>
          <w:rFonts w:eastAsia="Arial"/>
          <w:b/>
          <w:bCs/>
          <w:lang w:val="en-US"/>
        </w:rPr>
      </w:pPr>
      <w:r>
        <w:t>The major funding source available to the Australian Rail Track Corporation/IRPL to deliver Inland Rail is Commonwealth equity investment. Pre</w:t>
      </w:r>
      <w:r w:rsidR="00D737F9">
        <w:noBreakHyphen/>
      </w:r>
      <w:r>
        <w:t>existing project risks have been realised, including extensive delays and cost increases. Significant project delivery risks will remain, including securing jurisdictional support, cost and scheduling pressures,</w:t>
      </w:r>
      <w:r w:rsidDel="009D5317">
        <w:t xml:space="preserve"> </w:t>
      </w:r>
      <w:r>
        <w:t>pre</w:t>
      </w:r>
      <w:r w:rsidR="00D737F9">
        <w:noBreakHyphen/>
      </w:r>
      <w:r>
        <w:t>existing land and contamination, and realising revenues.</w:t>
      </w:r>
    </w:p>
    <w:p w14:paraId="4FBE0DC5" w14:textId="77777777" w:rsidR="00DD4DE1" w:rsidRDefault="00DD4DE1" w:rsidP="001078E4">
      <w:pPr>
        <w:spacing w:before="0" w:after="160" w:line="259" w:lineRule="auto"/>
      </w:pPr>
      <w:r>
        <w:br w:type="page"/>
      </w:r>
    </w:p>
    <w:p w14:paraId="49232F09" w14:textId="77777777" w:rsidR="00DD4DE1" w:rsidRPr="00B832E0" w:rsidRDefault="00DD4DE1" w:rsidP="001078E4">
      <w:pPr>
        <w:pStyle w:val="Heading3"/>
      </w:pPr>
      <w:bookmarkStart w:id="149" w:name="_Toc99141887"/>
      <w:bookmarkStart w:id="150" w:name="_Toc166165524"/>
      <w:r w:rsidRPr="00B832E0">
        <w:lastRenderedPageBreak/>
        <w:t>Significant but remote contingencies</w:t>
      </w:r>
      <w:bookmarkEnd w:id="147"/>
      <w:bookmarkEnd w:id="149"/>
      <w:bookmarkEnd w:id="150"/>
    </w:p>
    <w:p w14:paraId="65D03865" w14:textId="77777777" w:rsidR="00DD4DE1" w:rsidRPr="00B832E0" w:rsidRDefault="00DD4DE1" w:rsidP="001078E4">
      <w:pPr>
        <w:pStyle w:val="Heading4"/>
      </w:pPr>
      <w:bookmarkStart w:id="151" w:name="_Toc71117854"/>
      <w:r w:rsidRPr="00B832E0">
        <w:t>Inland Rail – Termination of the Equity Financing Agreement</w:t>
      </w:r>
      <w:bookmarkEnd w:id="151"/>
    </w:p>
    <w:p w14:paraId="00106984" w14:textId="4E58BB01" w:rsidR="00DD4DE1" w:rsidRPr="003423F8" w:rsidRDefault="00DD4DE1" w:rsidP="00CE6FF1">
      <w:pPr>
        <w:rPr>
          <w:rFonts w:eastAsia="Arial"/>
          <w:b/>
          <w:bCs/>
          <w:lang w:val="en-US"/>
        </w:rPr>
      </w:pPr>
      <w:bookmarkStart w:id="152" w:name="_Toc71117855"/>
      <w:r>
        <w:t xml:space="preserve">The </w:t>
      </w:r>
      <w:r w:rsidR="001F3211">
        <w:t>Australian Government</w:t>
      </w:r>
      <w:r>
        <w:t xml:space="preserve"> will provide sufficient funding to cover all costs and liabilities incurred by the Australian Rail Track Corporation (ARTC) or Inland Rail Pty Ltd for delivery of Inland Rail in the event the Commonwealth terminates the Equity Financing Agreement between the Commonwealth and the ARTC.</w:t>
      </w:r>
    </w:p>
    <w:p w14:paraId="10AC92DF" w14:textId="50674C8E" w:rsidR="00DD4DE1" w:rsidRPr="00B832E0" w:rsidRDefault="00DD4DE1" w:rsidP="001078E4">
      <w:pPr>
        <w:pStyle w:val="Heading4"/>
      </w:pPr>
      <w:r w:rsidRPr="00B832E0">
        <w:t>Maritime Industry Finance Company Limited – Board Members</w:t>
      </w:r>
      <w:r w:rsidR="00D737F9">
        <w:t>’</w:t>
      </w:r>
      <w:r w:rsidRPr="00B832E0">
        <w:t xml:space="preserve"> indemnity</w:t>
      </w:r>
      <w:bookmarkEnd w:id="152"/>
    </w:p>
    <w:p w14:paraId="478B250B" w14:textId="602D25B5" w:rsidR="00DD4DE1" w:rsidRPr="00F5415A" w:rsidRDefault="00DD4DE1" w:rsidP="001078E4">
      <w:r w:rsidRPr="00B832E0">
        <w:t>Indemn</w:t>
      </w:r>
      <w:r w:rsidRPr="00F5415A">
        <w:t>ities for Maritime Industry Finance Company Limited (MIFCO) board members were provided to protect them against civil claims relating to their employment and conduct as Directors. MIFCO was placed into voluntary liquidation in November 2006 and was deregistered on 24 April 2008. The indemnity is not time</w:t>
      </w:r>
      <w:r w:rsidR="00D737F9">
        <w:noBreakHyphen/>
      </w:r>
      <w:r w:rsidRPr="00F5415A">
        <w:t>limited and continues even though the company has been liquidated. Until the indemnity agreements are varied or ended, they will remain as contingent and unquantifiable liabilities.</w:t>
      </w:r>
    </w:p>
    <w:p w14:paraId="4018E8B0" w14:textId="77777777" w:rsidR="00DD4DE1" w:rsidRPr="00B832E0" w:rsidRDefault="00DD4DE1" w:rsidP="001078E4">
      <w:pPr>
        <w:pStyle w:val="Heading4"/>
      </w:pPr>
      <w:bookmarkStart w:id="153" w:name="_Toc71117857"/>
      <w:r w:rsidRPr="00B832E0">
        <w:t>Moorebank Intermodal Project – Glenfield Waste Site Easement</w:t>
      </w:r>
      <w:bookmarkEnd w:id="153"/>
    </w:p>
    <w:p w14:paraId="16A37976" w14:textId="66457E0C" w:rsidR="00DD4DE1" w:rsidRPr="00B832E0" w:rsidRDefault="00DD4DE1" w:rsidP="00F5415A">
      <w:r w:rsidRPr="00B832E0">
        <w:t xml:space="preserve">The </w:t>
      </w:r>
      <w:r w:rsidR="001F3211">
        <w:t>Australian Government</w:t>
      </w:r>
      <w:r w:rsidRPr="00B832E0">
        <w:t xml:space="preserve"> has provided an indemnity to cover all costs and liabilities that may be incurred by the Grantor (the private sector owner of the Glenfield Waste Site) of any easement for the rail spur going across the Glenfield Waste Site, to the extent such costs or liabilities are caused or contributed to by the Commonwealth or its agents.</w:t>
      </w:r>
    </w:p>
    <w:p w14:paraId="18776F53" w14:textId="77777777" w:rsidR="00DD4DE1" w:rsidRPr="00B832E0" w:rsidRDefault="00DD4DE1" w:rsidP="001078E4">
      <w:pPr>
        <w:pStyle w:val="Heading4"/>
      </w:pPr>
      <w:bookmarkStart w:id="154" w:name="_Toc71117856"/>
      <w:r w:rsidRPr="00B832E0">
        <w:t>National Intermodal Corporation</w:t>
      </w:r>
      <w:r w:rsidRPr="00B832E0">
        <w:rPr>
          <w:rFonts w:ascii="Arial" w:eastAsia="Arial" w:hAnsi="Arial" w:cs="Arial"/>
          <w:bCs/>
          <w:i/>
          <w:lang w:val="en-US" w:eastAsia="en-US"/>
        </w:rPr>
        <w:t xml:space="preserve"> </w:t>
      </w:r>
      <w:r w:rsidRPr="00B832E0">
        <w:t>Limited – Termination of the Funding Agreement</w:t>
      </w:r>
      <w:bookmarkEnd w:id="154"/>
    </w:p>
    <w:p w14:paraId="38F67342" w14:textId="38BD70E8" w:rsidR="00DD4DE1" w:rsidRDefault="00DD4DE1" w:rsidP="001078E4">
      <w:r w:rsidRPr="00F5415A">
        <w:t xml:space="preserve">The </w:t>
      </w:r>
      <w:r w:rsidR="001F3211" w:rsidRPr="00F5415A">
        <w:t>Australian Government</w:t>
      </w:r>
      <w:r w:rsidRPr="00F5415A">
        <w:t xml:space="preserve"> has provided an indemnity to cover all costs and liabilities that may be incurred by the </w:t>
      </w:r>
      <w:r w:rsidRPr="00F5415A">
        <w:rPr>
          <w:rFonts w:eastAsia="Book Antiqua"/>
        </w:rPr>
        <w:t xml:space="preserve">National Intermodal Corporation </w:t>
      </w:r>
      <w:r w:rsidRPr="00F5415A">
        <w:t>Limited (</w:t>
      </w:r>
      <w:r w:rsidRPr="00F5415A">
        <w:rPr>
          <w:rFonts w:eastAsia="Book Antiqua"/>
        </w:rPr>
        <w:t>National Intermodal</w:t>
      </w:r>
      <w:r w:rsidRPr="00F5415A">
        <w:t xml:space="preserve">) if the Commonwealth terminates the Funding Agreement between the Commonwealth and </w:t>
      </w:r>
      <w:r w:rsidRPr="00F5415A">
        <w:rPr>
          <w:rFonts w:eastAsia="Book Antiqua"/>
        </w:rPr>
        <w:t>National Intermodal</w:t>
      </w:r>
      <w:r w:rsidRPr="00B832E0">
        <w:t>.</w:t>
      </w:r>
      <w:bookmarkStart w:id="155" w:name="_Toc71117859"/>
    </w:p>
    <w:p w14:paraId="61B075FA" w14:textId="77777777" w:rsidR="00DD4DE1" w:rsidRPr="00B832E0" w:rsidRDefault="00DD4DE1" w:rsidP="001078E4">
      <w:pPr>
        <w:pStyle w:val="Heading4"/>
      </w:pPr>
      <w:r w:rsidRPr="00B832E0">
        <w:t>Telstra Financial Guarantee</w:t>
      </w:r>
      <w:bookmarkEnd w:id="155"/>
    </w:p>
    <w:p w14:paraId="49AAF134" w14:textId="53BE2452" w:rsidR="00DD4DE1" w:rsidRPr="009F2CD3" w:rsidRDefault="00DD4DE1" w:rsidP="00F5415A">
      <w:r>
        <w:t>The Australian Government has provided Telstra Corporation Limited (Telstra) a guarantee in respect of NBN Co</w:t>
      </w:r>
      <w:r w:rsidR="00D737F9">
        <w:t>’</w:t>
      </w:r>
      <w:r>
        <w:t>s financial obligations under the Definitive Agreements. The Agreements were amended on 14</w:t>
      </w:r>
      <w:r w:rsidR="00D9795C">
        <w:t> December </w:t>
      </w:r>
      <w:r>
        <w:t>2014. The Guarantee was not amended at that time and it continues in force in accordance with its terms in respect of the amended Definitive Agreements. The liabilities under the Definitive Agreements between Telstra and NBN Co arise progressively during the roll</w:t>
      </w:r>
      <w:r w:rsidR="00D737F9">
        <w:noBreakHyphen/>
      </w:r>
      <w:r>
        <w:t>out of the National Broadband Network as Telstra</w:t>
      </w:r>
      <w:r w:rsidR="00D737F9">
        <w:t>’</w:t>
      </w:r>
      <w:r>
        <w:t>s infrastructure is accessed and Telstra</w:t>
      </w:r>
      <w:r w:rsidR="00D737F9">
        <w:t>’</w:t>
      </w:r>
      <w:r>
        <w:t>s customers are disconnected from its copper and Hybrid Fibre Coaxial cable networks. The Australian Government is only liable in the event NBN Co does not pay an amount when due under the Definitive Agreements. As at 28</w:t>
      </w:r>
      <w:r w:rsidR="00D9795C">
        <w:t> February </w:t>
      </w:r>
      <w:r>
        <w:t>2024, NBN Co had liabilities covered by the Guarantee estimated at $11</w:t>
      </w:r>
      <w:r w:rsidR="0023629A">
        <w:t> </w:t>
      </w:r>
      <w:r>
        <w:t>billion.</w:t>
      </w:r>
    </w:p>
    <w:p w14:paraId="3DF43B9F" w14:textId="77777777" w:rsidR="00DD4DE1" w:rsidRPr="009F2CD3" w:rsidRDefault="00DD4DE1" w:rsidP="001F4160">
      <w:pPr>
        <w:keepNext/>
      </w:pPr>
      <w:r>
        <w:lastRenderedPageBreak/>
        <w:t>The Guarantee will terminate when:</w:t>
      </w:r>
    </w:p>
    <w:p w14:paraId="5DA01388" w14:textId="4F18AE5D" w:rsidR="00DD4DE1" w:rsidRPr="00F5415A" w:rsidRDefault="00DD4DE1" w:rsidP="00F5415A">
      <w:pPr>
        <w:pStyle w:val="Bullet"/>
        <w:rPr>
          <w:rFonts w:eastAsia="Arial"/>
        </w:rPr>
      </w:pPr>
      <w:r>
        <w:t>N</w:t>
      </w:r>
      <w:r w:rsidRPr="00F5415A">
        <w:t>BN Co achieves specified credit ratings for a period of two continuous years</w:t>
      </w:r>
    </w:p>
    <w:p w14:paraId="611A4144" w14:textId="4F92D596" w:rsidR="00DD4DE1" w:rsidRPr="00F5415A" w:rsidRDefault="00DD4DE1" w:rsidP="00F5415A">
      <w:pPr>
        <w:pStyle w:val="Bullet"/>
        <w:rPr>
          <w:rFonts w:eastAsia="Arial"/>
        </w:rPr>
      </w:pPr>
      <w:r w:rsidRPr="00F5415A">
        <w:rPr>
          <w:rFonts w:eastAsia="Arial"/>
        </w:rPr>
        <w:t>the company is capitalised by the Commonwealth to the agreed amount</w:t>
      </w:r>
    </w:p>
    <w:p w14:paraId="4746A704" w14:textId="5794BFD1" w:rsidR="00DD4DE1" w:rsidRPr="00C34767" w:rsidRDefault="00DD4DE1" w:rsidP="006055E0">
      <w:pPr>
        <w:pStyle w:val="Bullet"/>
        <w:spacing w:after="240"/>
      </w:pPr>
      <w:bookmarkStart w:id="156" w:name="_Toc71117860"/>
      <w:r w:rsidRPr="00F5415A">
        <w:t xml:space="preserve">the Communications </w:t>
      </w:r>
      <w:r>
        <w:t xml:space="preserve">Minister declares, under </w:t>
      </w:r>
      <w:r w:rsidRPr="003D3DAB">
        <w:rPr>
          <w:i/>
        </w:rPr>
        <w:t>the National Broadband Network Companies Act 2011</w:t>
      </w:r>
      <w:r>
        <w:t>, that, in his or her opinion, the National Broadband Network should be treated as built and fully operational. This declaration was made on 11 December</w:t>
      </w:r>
      <w:r w:rsidR="00F1761D">
        <w:t> </w:t>
      </w:r>
      <w:r>
        <w:t>2020.</w:t>
      </w:r>
    </w:p>
    <w:p w14:paraId="7C823212" w14:textId="77777777" w:rsidR="00DD4DE1" w:rsidRPr="00B832E0" w:rsidRDefault="00DD4DE1" w:rsidP="001078E4">
      <w:pPr>
        <w:pStyle w:val="Heading4"/>
      </w:pPr>
      <w:r w:rsidRPr="00B832E0">
        <w:t>Tripartite deeds relating to the sale of federal leased airports</w:t>
      </w:r>
    </w:p>
    <w:p w14:paraId="29C7D2C7" w14:textId="2A31BA5A" w:rsidR="00DD4DE1" w:rsidRPr="00B832E0" w:rsidRDefault="00DD4DE1" w:rsidP="00F5415A">
      <w:r w:rsidRPr="00B832E0">
        <w:t>The tripartite deeds between the Australian Government, the airport lessee company and financiers, amend airport (head) leases to provide for limited step</w:t>
      </w:r>
      <w:r w:rsidR="00D737F9">
        <w:noBreakHyphen/>
      </w:r>
      <w:r w:rsidRPr="00B832E0">
        <w:t>in rights for financiers in circumstances where the Australian Government terminates the head lease to enable the financiers to correct the circumstances that triggered such a termination event. The tripartite deeds may require the Australian Government to pay financiers compensation as a result of terminating the (head) lease, once all Australian Government costs have been recovered. The Australian Government</w:t>
      </w:r>
      <w:r w:rsidR="00D737F9">
        <w:t>’</w:t>
      </w:r>
      <w:r w:rsidRPr="00B832E0">
        <w:t>s contingent liabilities are considered to be unquantifiable and remote.</w:t>
      </w:r>
    </w:p>
    <w:p w14:paraId="71EDE80B" w14:textId="7983250F" w:rsidR="00DD4DE1" w:rsidRPr="00B832E0" w:rsidDel="00892695" w:rsidRDefault="00DD4DE1" w:rsidP="001078E4">
      <w:pPr>
        <w:pStyle w:val="Heading4"/>
      </w:pPr>
      <w:bookmarkStart w:id="157" w:name="_Toc71117861"/>
      <w:r w:rsidRPr="00B832E0">
        <w:t xml:space="preserve">WSA Co Limited – </w:t>
      </w:r>
      <w:r w:rsidRPr="00B832E0" w:rsidDel="00892695">
        <w:t>Board Members</w:t>
      </w:r>
      <w:r w:rsidR="00D737F9">
        <w:t>’</w:t>
      </w:r>
      <w:r w:rsidRPr="00B832E0">
        <w:t xml:space="preserve"> i</w:t>
      </w:r>
      <w:r w:rsidRPr="00B832E0" w:rsidDel="00892695">
        <w:t>ndemnities</w:t>
      </w:r>
      <w:bookmarkEnd w:id="157"/>
    </w:p>
    <w:p w14:paraId="4EEBE056" w14:textId="08FC23F5" w:rsidR="00DD4DE1" w:rsidRDefault="00DD4DE1" w:rsidP="00F5415A">
      <w:r>
        <w:t>The Australian Government has provided an indemnity to the inaugural directors of WSA</w:t>
      </w:r>
      <w:r w:rsidR="00F1761D">
        <w:t> </w:t>
      </w:r>
      <w:r>
        <w:t>Co</w:t>
      </w:r>
      <w:r w:rsidR="00F1761D">
        <w:t> </w:t>
      </w:r>
      <w:r>
        <w:t>Limited (WSA Co) to protect them against certain claims relating to their role as directors. Unless the indemnity agreements are varied or ended, they cease to apply from the date the Commonwealth has fully satisfied its obligations to subscribe for equity in WSA Co pursuant to the WSA Co Equity Subscription Agreement.</w:t>
      </w:r>
    </w:p>
    <w:p w14:paraId="4A0A2446" w14:textId="77777777" w:rsidR="00DD4DE1" w:rsidRPr="00B832E0" w:rsidRDefault="00DD4DE1" w:rsidP="001078E4">
      <w:pPr>
        <w:pStyle w:val="Heading4"/>
      </w:pPr>
      <w:r w:rsidRPr="00B832E0">
        <w:t>WSA Co Limited – Sydney Metro – Western Sydney Airport indemnity</w:t>
      </w:r>
    </w:p>
    <w:p w14:paraId="021E73E4" w14:textId="0CF992A7" w:rsidR="00DD4DE1" w:rsidRPr="00B832E0" w:rsidDel="00892695" w:rsidRDefault="00DD4DE1" w:rsidP="001078E4">
      <w:r w:rsidRPr="00B832E0">
        <w:t xml:space="preserve">The Australian Government has provided an indemnity to cover liabilities that may be </w:t>
      </w:r>
      <w:r w:rsidRPr="00F5415A">
        <w:t>incurred by WSA Co related to the integration of the Sydney Metro – Western Sydney Airport project (delivered by the New South Wales Government) with the Western Sydney International (Nancy</w:t>
      </w:r>
      <w:r w:rsidR="00D737F9">
        <w:noBreakHyphen/>
      </w:r>
      <w:r w:rsidRPr="00F5415A">
        <w:t>Bird Walton) Airport, to the extent such liabilities are established in the Airport</w:t>
      </w:r>
      <w:r w:rsidR="00D737F9">
        <w:noBreakHyphen/>
      </w:r>
      <w:r w:rsidRPr="00F5415A">
        <w:t>Rail Integration Deed.</w:t>
      </w:r>
    </w:p>
    <w:p w14:paraId="655098DD" w14:textId="43A950AA" w:rsidR="00DD4DE1" w:rsidRPr="00B832E0" w:rsidRDefault="00DD4DE1" w:rsidP="00EB6098">
      <w:pPr>
        <w:pStyle w:val="Heading4"/>
        <w:keepLines/>
      </w:pPr>
      <w:bookmarkStart w:id="158" w:name="_Toc71117862"/>
      <w:r w:rsidRPr="00B832E0">
        <w:t>WSA Co Limited –</w:t>
      </w:r>
      <w:r w:rsidR="00AE2CBE">
        <w:t xml:space="preserve"> </w:t>
      </w:r>
      <w:r w:rsidRPr="00B832E0">
        <w:t>Termination of the Equity Subscription Agreement</w:t>
      </w:r>
      <w:bookmarkEnd w:id="158"/>
    </w:p>
    <w:p w14:paraId="6005487A" w14:textId="77777777" w:rsidR="00DD4DE1" w:rsidRPr="00B832E0" w:rsidRDefault="00DD4DE1" w:rsidP="00EB6098">
      <w:pPr>
        <w:keepLines/>
      </w:pPr>
      <w:r w:rsidRPr="00B832E0">
        <w:t>The Australian Government is required to cover all costs and liabilities that may be incurred by WSA Co if the Commonwealth terminates the Equity Subscription Agreement between the Commonwealth and WSA</w:t>
      </w:r>
      <w:r>
        <w:t> </w:t>
      </w:r>
      <w:r w:rsidRPr="00B832E0">
        <w:t>Co.</w:t>
      </w:r>
    </w:p>
    <w:p w14:paraId="45BA5A45" w14:textId="77777777" w:rsidR="00DD4DE1" w:rsidRPr="00B832E0" w:rsidRDefault="00DD4DE1" w:rsidP="00F5415A">
      <w:pPr>
        <w:pStyle w:val="Heading3"/>
        <w:keepLines/>
      </w:pPr>
      <w:bookmarkStart w:id="159" w:name="_Toc99141888"/>
      <w:bookmarkStart w:id="160" w:name="_Toc166165525"/>
      <w:r w:rsidRPr="00B832E0">
        <w:lastRenderedPageBreak/>
        <w:t>Contingent liabilities – unquantifiable</w:t>
      </w:r>
      <w:bookmarkEnd w:id="159"/>
      <w:bookmarkEnd w:id="160"/>
    </w:p>
    <w:p w14:paraId="1925DCC4" w14:textId="7100C706" w:rsidR="00DD4DE1" w:rsidRPr="007455A4" w:rsidRDefault="00DD4DE1" w:rsidP="00F5415A">
      <w:pPr>
        <w:pStyle w:val="Heading4"/>
        <w:keepLines/>
        <w:rPr>
          <w:rFonts w:eastAsia="Arial"/>
          <w:lang w:val="en-US"/>
        </w:rPr>
      </w:pPr>
      <w:r w:rsidRPr="059F3E68">
        <w:rPr>
          <w:rFonts w:eastAsia="Arial"/>
          <w:lang w:val="en-US"/>
        </w:rPr>
        <w:t xml:space="preserve">Australian Maritime Safety Authority </w:t>
      </w:r>
      <w:r>
        <w:rPr>
          <w:rFonts w:eastAsia="Arial"/>
          <w:lang w:val="en-US"/>
        </w:rPr>
        <w:t>– ship</w:t>
      </w:r>
      <w:r w:rsidR="00D737F9">
        <w:rPr>
          <w:rFonts w:eastAsia="Arial"/>
          <w:lang w:val="en-US"/>
        </w:rPr>
        <w:noBreakHyphen/>
      </w:r>
      <w:r>
        <w:rPr>
          <w:rFonts w:eastAsia="Arial"/>
          <w:lang w:val="en-US"/>
        </w:rPr>
        <w:t xml:space="preserve">sourced pollution </w:t>
      </w:r>
      <w:r w:rsidRPr="059F3E68">
        <w:rPr>
          <w:rFonts w:eastAsia="Arial"/>
          <w:lang w:val="en-US"/>
        </w:rPr>
        <w:t>incident costs</w:t>
      </w:r>
    </w:p>
    <w:p w14:paraId="5C92FA8E" w14:textId="1B8636D1" w:rsidR="00DD4DE1" w:rsidRPr="00F5415A" w:rsidRDefault="00DD4DE1" w:rsidP="00F5415A">
      <w:pPr>
        <w:keepLines/>
        <w:rPr>
          <w:spacing w:val="-2"/>
        </w:rPr>
      </w:pPr>
      <w:r w:rsidRPr="00F5415A">
        <w:t>In the normal course of operations, shipowners carry the liability for any clean</w:t>
      </w:r>
      <w:r w:rsidR="00D737F9">
        <w:noBreakHyphen/>
      </w:r>
      <w:r w:rsidRPr="00F5415A">
        <w:t>up costs following a ship</w:t>
      </w:r>
      <w:r w:rsidR="00D737F9">
        <w:noBreakHyphen/>
      </w:r>
      <w:r w:rsidRPr="00F5415A">
        <w:t>sourced pollution incident. The Australian Maritime Safety Authority (AMSA) is responsible for the provision of interim funds necessary to immediately meet</w:t>
      </w:r>
      <w:r w:rsidRPr="00F5415A">
        <w:rPr>
          <w:spacing w:val="-2"/>
        </w:rPr>
        <w:t xml:space="preserve"> clean</w:t>
      </w:r>
      <w:r w:rsidR="00D737F9">
        <w:rPr>
          <w:spacing w:val="-2"/>
        </w:rPr>
        <w:noBreakHyphen/>
      </w:r>
      <w:r w:rsidRPr="00F5415A">
        <w:rPr>
          <w:spacing w:val="-2"/>
        </w:rPr>
        <w:t xml:space="preserve">up operations and, in all circumstances, seeks to recover these costs from ship owners. </w:t>
      </w:r>
    </w:p>
    <w:p w14:paraId="0DA31200" w14:textId="001EEC32" w:rsidR="00DD4DE1" w:rsidRDefault="00DD4DE1" w:rsidP="001078E4">
      <w:r>
        <w:t>AMSA has established a pollution response financial capability of $50</w:t>
      </w:r>
      <w:r w:rsidR="0023629A">
        <w:t> </w:t>
      </w:r>
      <w:r>
        <w:t>million, backed by liquid investments, to provide funds for clean</w:t>
      </w:r>
      <w:r w:rsidR="00D737F9">
        <w:noBreakHyphen/>
      </w:r>
      <w:r>
        <w:t>up costs (which may be across a range of concurrent incidents) to cover expenditure pending recoveries.</w:t>
      </w:r>
    </w:p>
    <w:p w14:paraId="43F63981" w14:textId="71DFB744" w:rsidR="00DD4DE1" w:rsidRPr="007455A4" w:rsidRDefault="00DD4DE1" w:rsidP="001078E4">
      <w:pPr>
        <w:rPr>
          <w:rFonts w:eastAsia="Arial"/>
          <w:b/>
          <w:bCs/>
          <w:lang w:val="en-US"/>
        </w:rPr>
      </w:pPr>
      <w:r>
        <w:t xml:space="preserve">The Australian Government meets costs that cannot be recovered. Given the nature of </w:t>
      </w:r>
      <w:r>
        <w:br/>
        <w:t>ship</w:t>
      </w:r>
      <w:r w:rsidR="00D737F9">
        <w:noBreakHyphen/>
      </w:r>
      <w:r>
        <w:t>sourced pollution incidents, it is not possible to estimate the amounts of any eventual payments that may be required.</w:t>
      </w:r>
    </w:p>
    <w:p w14:paraId="5808E9D8" w14:textId="10D413C1" w:rsidR="00DD4DE1" w:rsidRPr="00BE6C2E" w:rsidRDefault="00DD4DE1" w:rsidP="001078E4">
      <w:pPr>
        <w:pStyle w:val="Heading4"/>
        <w:rPr>
          <w:rFonts w:eastAsia="Arial"/>
          <w:lang w:val="en-US"/>
        </w:rPr>
      </w:pPr>
      <w:bookmarkStart w:id="161" w:name="_Toc71117865"/>
      <w:bookmarkStart w:id="162" w:name="_Toc71117866"/>
      <w:r w:rsidRPr="00BE6C2E">
        <w:rPr>
          <w:rFonts w:eastAsia="Arial"/>
          <w:lang w:val="en-US"/>
        </w:rPr>
        <w:t>Aviation rescue and firefighting services potential per</w:t>
      </w:r>
      <w:r w:rsidR="00D737F9">
        <w:rPr>
          <w:rFonts w:eastAsia="Arial"/>
          <w:lang w:val="en-US"/>
        </w:rPr>
        <w:noBreakHyphen/>
      </w:r>
      <w:r w:rsidRPr="00BE6C2E">
        <w:rPr>
          <w:rFonts w:eastAsia="Arial"/>
          <w:lang w:val="en-US"/>
        </w:rPr>
        <w:t xml:space="preserve"> and poly</w:t>
      </w:r>
      <w:r w:rsidR="00D737F9">
        <w:rPr>
          <w:rFonts w:eastAsia="Arial"/>
          <w:lang w:val="en-US"/>
        </w:rPr>
        <w:noBreakHyphen/>
      </w:r>
      <w:r w:rsidRPr="00BE6C2E">
        <w:rPr>
          <w:rFonts w:eastAsia="Arial"/>
          <w:lang w:val="en-US"/>
        </w:rPr>
        <w:t>fluoroalkyl substances contamination</w:t>
      </w:r>
      <w:bookmarkEnd w:id="161"/>
    </w:p>
    <w:p w14:paraId="68FFF775" w14:textId="30A7FF8E" w:rsidR="00DD4DE1" w:rsidRPr="0006377C" w:rsidRDefault="00DD4DE1" w:rsidP="00F5415A">
      <w:r>
        <w:t>The Department of Infrastructure, Transport, Regional Development, Communications and the Arts (DITRDCA) has identified a number of sites in Australia potentially contaminated with per</w:t>
      </w:r>
      <w:r w:rsidR="00D737F9">
        <w:noBreakHyphen/>
      </w:r>
      <w:r>
        <w:t xml:space="preserve"> and poly</w:t>
      </w:r>
      <w:r w:rsidR="00D737F9">
        <w:noBreakHyphen/>
      </w:r>
      <w:r>
        <w:t>fluoroalkyl substances (PFAS), which were contained in firefighting foams.</w:t>
      </w:r>
    </w:p>
    <w:p w14:paraId="3EC5243D" w14:textId="77777777" w:rsidR="00DD4DE1" w:rsidRPr="00B832E0" w:rsidRDefault="00DD4DE1" w:rsidP="00F5415A">
      <w:r>
        <w:t>PFAS</w:t>
      </w:r>
      <w:r w:rsidRPr="00B832E0">
        <w:t xml:space="preserve"> contaminants do not naturally break down in the environment and several have been listed on the Stockholm Convention as</w:t>
      </w:r>
      <w:r>
        <w:t xml:space="preserve"> </w:t>
      </w:r>
      <w:r w:rsidRPr="00B832E0">
        <w:t>persistent contaminants. Australian health and environmental agencies have set a range of standards for environmental protection and precautionary health measures.</w:t>
      </w:r>
    </w:p>
    <w:p w14:paraId="2C0BFEBF" w14:textId="117AF05A" w:rsidR="00DD4DE1" w:rsidRPr="0006377C" w:rsidRDefault="00DD4DE1" w:rsidP="00F5415A">
      <w:r>
        <w:t>Up to 37 airport sites are potentially contaminated with PFAS (20 federally</w:t>
      </w:r>
      <w:r w:rsidR="00D737F9">
        <w:noBreakHyphen/>
      </w:r>
      <w:r>
        <w:t>leased airports and 17 regional airports), which relate to the Australian Government</w:t>
      </w:r>
      <w:r w:rsidR="00D737F9">
        <w:t>’</w:t>
      </w:r>
      <w:r>
        <w:t>s provision of firefighting services. DITRDCA is undertaking PFAS investigations at these airports to understand the risks and develop management plans for any identified PFAS contamination. These investigations are funded under DITRDCA</w:t>
      </w:r>
      <w:r w:rsidR="00D737F9">
        <w:t>’</w:t>
      </w:r>
      <w:r>
        <w:t>s $130.5</w:t>
      </w:r>
      <w:r w:rsidR="0023629A">
        <w:t> </w:t>
      </w:r>
      <w:r>
        <w:t>million PFAS Airports Investigation Program (the Program). Airservices Australia (Airservices) is continuing to implement the National PFAS Management Program, which includes ongoing PFAS investigations at 18 airport sites. The costs of potential long</w:t>
      </w:r>
      <w:r w:rsidR="00D737F9">
        <w:noBreakHyphen/>
      </w:r>
      <w:r>
        <w:t>term management options cannot be quantified at this time.</w:t>
      </w:r>
    </w:p>
    <w:p w14:paraId="63389CE8" w14:textId="626D752A" w:rsidR="00DD4DE1" w:rsidRPr="0006377C" w:rsidRDefault="00DD4DE1" w:rsidP="00F5415A">
      <w:r>
        <w:t>For Commonwealth</w:t>
      </w:r>
      <w:r w:rsidR="00D737F9">
        <w:noBreakHyphen/>
      </w:r>
      <w:r>
        <w:t>owned airports that are leased on a long</w:t>
      </w:r>
      <w:r w:rsidR="00D737F9">
        <w:noBreakHyphen/>
      </w:r>
      <w:r>
        <w:t>term basis, Airport Lessee Companies are responsible for environmental management of their airport sites. Airport leases indemnify the Commonwealth in relation to damages or injury to the environment, including in respect of costs and claims arising due to such damages or injury. However, these leases do not indemnify Airservices, as it is a corporate Commonwealth entity. The Commonwealth is not indemnified for 16 airports (which are privately or local government owned) in the Program</w:t>
      </w:r>
      <w:r w:rsidR="00D737F9">
        <w:t>’</w:t>
      </w:r>
      <w:r>
        <w:t xml:space="preserve">s scope because the Commonwealth is not a party to any lease deed </w:t>
      </w:r>
      <w:r>
        <w:lastRenderedPageBreak/>
        <w:t>at these airports. The costs of potential long</w:t>
      </w:r>
      <w:r w:rsidR="00D737F9">
        <w:noBreakHyphen/>
      </w:r>
      <w:r>
        <w:t>term management options cannot be quantified at this time.</w:t>
      </w:r>
    </w:p>
    <w:p w14:paraId="0DE860FA" w14:textId="7518E981" w:rsidR="00DD4DE1" w:rsidRPr="0006377C" w:rsidRDefault="00DD4DE1" w:rsidP="00F5415A">
      <w:r>
        <w:t xml:space="preserve">A number of Airport Lessee Companies have requested that the Airport Environment Officer (AEO) issue remedial orders to Airservices for PFAS contamination under the </w:t>
      </w:r>
      <w:r w:rsidRPr="059F3E68">
        <w:rPr>
          <w:i/>
          <w:iCs/>
        </w:rPr>
        <w:t>Airports (Environment Protection) Regulations 1997</w:t>
      </w:r>
      <w:r>
        <w:t>. On 30</w:t>
      </w:r>
      <w:r w:rsidR="00D9795C">
        <w:t> March </w:t>
      </w:r>
      <w:r>
        <w:t>2023, the AEO issued Airservices with an environmental remedial order in relation to PFAS contamination caused by Airservices at the former fire training ground at Launceston Airport. AEOs are</w:t>
      </w:r>
      <w:r w:rsidR="00F5415A">
        <w:t> </w:t>
      </w:r>
      <w:r>
        <w:t>also actively considering regulatory action at Brisbane, Canberra, Moorabbin and Sydney</w:t>
      </w:r>
      <w:r w:rsidR="00F5415A">
        <w:t> </w:t>
      </w:r>
      <w:r>
        <w:t>Airports.</w:t>
      </w:r>
    </w:p>
    <w:p w14:paraId="26DD117E" w14:textId="2DFC9A6A" w:rsidR="00DD4DE1" w:rsidRPr="0006377C" w:rsidRDefault="00DD4DE1" w:rsidP="00F5415A">
      <w:pPr>
        <w:rPr>
          <w:rFonts w:eastAsia="Arial"/>
          <w:b/>
          <w:lang w:val="en-US"/>
        </w:rPr>
      </w:pPr>
      <w:r w:rsidRPr="00B832E0">
        <w:t xml:space="preserve">Brisbane Airport Corporation has commenced legal proceedings in the Queensland Supreme Court against Airservices </w:t>
      </w:r>
      <w:r>
        <w:t>concerning</w:t>
      </w:r>
      <w:r w:rsidRPr="00B832E0">
        <w:t xml:space="preserve"> legacy PFAS contamination from Airservices</w:t>
      </w:r>
      <w:r w:rsidR="00D737F9">
        <w:t>’</w:t>
      </w:r>
      <w:r w:rsidRPr="00B832E0">
        <w:t xml:space="preserve"> use of firefighting foams containing PFAS at the airport. </w:t>
      </w:r>
      <w:r w:rsidRPr="00D92D94">
        <w:t>Australia Pacific Airports Launceston and Perth Airport Pty Ltd have also commenced legal proceedings against Airservices in relation to PFAS contamination in the Federal Court. Potential costs relating to th</w:t>
      </w:r>
      <w:r>
        <w:t>ese</w:t>
      </w:r>
      <w:r w:rsidRPr="00D92D94">
        <w:t xml:space="preserve"> matter</w:t>
      </w:r>
      <w:r>
        <w:t>s</w:t>
      </w:r>
      <w:r w:rsidRPr="00D92D94">
        <w:t xml:space="preserve"> are unquantifiable at this time</w:t>
      </w:r>
      <w:r w:rsidRPr="00D92D94" w:rsidDel="00C545DE">
        <w:t>.</w:t>
      </w:r>
    </w:p>
    <w:p w14:paraId="09F4CADF" w14:textId="77777777" w:rsidR="00DD4DE1" w:rsidRPr="00B832E0" w:rsidRDefault="00DD4DE1" w:rsidP="001078E4">
      <w:pPr>
        <w:pStyle w:val="Heading4"/>
      </w:pPr>
      <w:r w:rsidRPr="00B832E0">
        <w:t>Indemnity provided to the New South Wales Rural Fire Fighting Service in relation to the Jervis Bay Territory</w:t>
      </w:r>
      <w:bookmarkEnd w:id="162"/>
    </w:p>
    <w:p w14:paraId="0F17740D" w14:textId="6F56409B" w:rsidR="00DD4DE1" w:rsidRPr="00F90E4D" w:rsidRDefault="00957FC0" w:rsidP="00F5415A">
      <w:pPr>
        <w:rPr>
          <w:rFonts w:eastAsia="Arial"/>
          <w:b/>
          <w:bCs/>
          <w:lang w:val="en-US"/>
        </w:rPr>
      </w:pPr>
      <w:bookmarkStart w:id="163" w:name="_Toc71117868"/>
      <w:r>
        <w:t>The Department of Infrastructure, Transport, Regional Development, Communications and the Arts (</w:t>
      </w:r>
      <w:r w:rsidR="00DD4DE1">
        <w:t>DITRDCA</w:t>
      </w:r>
      <w:r>
        <w:t>)</w:t>
      </w:r>
      <w:r w:rsidR="00DD4DE1">
        <w:t xml:space="preserve"> engages the New South Wales Rural Fire Service (NSW RFS) to provide fire management in the Jervis Bay Territory (JBT). To provide these services, the NSW RFS requires the Australian Government to provide an uncapped indemnity against any actions or claims resulting from the actions of the NSW RFS while providing fire management services in the JBT. The indemnity covers the same period of time for which NSW RFS is engaged to provide the fire management services. The likelihood of an event occurring that may result in a liability for the Australian Government is assessed as unlikely. The risk of a liability is mitigated through a range of risk management measures, including the </w:t>
      </w:r>
      <w:r w:rsidR="00DD4DE1" w:rsidRPr="00451344">
        <w:rPr>
          <w:i/>
        </w:rPr>
        <w:t>Jervis Bay Territory Rural Fires Ordinance 2014</w:t>
      </w:r>
      <w:r w:rsidR="00DD4DE1">
        <w:t>, the establishment of a JBT</w:t>
      </w:r>
      <w:r w:rsidR="00F5415A">
        <w:t> </w:t>
      </w:r>
      <w:r w:rsidR="00DD4DE1">
        <w:t>Emergency Management Committee (EMC), a fire management plan prepared and implemented by the EMC, NSW RFS staff training and professional qualifications and DITRDCA actively managing the Service Level Agreement with the NSW RFS.</w:t>
      </w:r>
    </w:p>
    <w:p w14:paraId="11CBE28E" w14:textId="77777777" w:rsidR="00DD4DE1" w:rsidRPr="00B832E0" w:rsidRDefault="00DD4DE1" w:rsidP="001078E4">
      <w:pPr>
        <w:pStyle w:val="Heading4"/>
      </w:pPr>
      <w:r w:rsidRPr="00B832E0">
        <w:t>Moorebank Intermodal Project – Georges River rail crossing</w:t>
      </w:r>
      <w:bookmarkEnd w:id="163"/>
    </w:p>
    <w:p w14:paraId="55BF0E2B" w14:textId="77777777" w:rsidR="00DD4DE1" w:rsidRPr="00B832E0" w:rsidRDefault="00DD4DE1" w:rsidP="00F5415A">
      <w:r w:rsidRPr="00B832E0">
        <w:t>The</w:t>
      </w:r>
      <w:r w:rsidRPr="00B832E0">
        <w:rPr>
          <w:spacing w:val="-12"/>
        </w:rPr>
        <w:t xml:space="preserve"> </w:t>
      </w:r>
      <w:r w:rsidRPr="00B832E0">
        <w:t>Australian</w:t>
      </w:r>
      <w:r w:rsidRPr="00B832E0">
        <w:rPr>
          <w:spacing w:val="-13"/>
        </w:rPr>
        <w:t xml:space="preserve"> </w:t>
      </w:r>
      <w:r w:rsidRPr="00B832E0">
        <w:t>Government</w:t>
      </w:r>
      <w:r w:rsidRPr="00B832E0">
        <w:rPr>
          <w:spacing w:val="-12"/>
        </w:rPr>
        <w:t xml:space="preserve"> </w:t>
      </w:r>
      <w:r w:rsidRPr="00B832E0">
        <w:t>has</w:t>
      </w:r>
      <w:r w:rsidRPr="00B832E0">
        <w:rPr>
          <w:spacing w:val="-13"/>
        </w:rPr>
        <w:t xml:space="preserve"> </w:t>
      </w:r>
      <w:r w:rsidRPr="00B832E0">
        <w:t>provided</w:t>
      </w:r>
      <w:r w:rsidRPr="00B832E0">
        <w:rPr>
          <w:spacing w:val="-12"/>
        </w:rPr>
        <w:t xml:space="preserve"> </w:t>
      </w:r>
      <w:r w:rsidRPr="00B832E0">
        <w:t>an</w:t>
      </w:r>
      <w:r w:rsidRPr="00B832E0">
        <w:rPr>
          <w:spacing w:val="-12"/>
        </w:rPr>
        <w:t xml:space="preserve"> </w:t>
      </w:r>
      <w:r w:rsidRPr="00B832E0">
        <w:t>indemnity</w:t>
      </w:r>
      <w:r w:rsidRPr="00B832E0">
        <w:rPr>
          <w:spacing w:val="-13"/>
        </w:rPr>
        <w:t xml:space="preserve"> </w:t>
      </w:r>
      <w:r w:rsidRPr="00B832E0">
        <w:t>to</w:t>
      </w:r>
      <w:r w:rsidRPr="00B832E0">
        <w:rPr>
          <w:spacing w:val="-14"/>
        </w:rPr>
        <w:t xml:space="preserve"> </w:t>
      </w:r>
      <w:r w:rsidRPr="00B832E0">
        <w:t>cover</w:t>
      </w:r>
      <w:r w:rsidRPr="00B832E0">
        <w:rPr>
          <w:spacing w:val="-11"/>
        </w:rPr>
        <w:t xml:space="preserve"> </w:t>
      </w:r>
      <w:r w:rsidRPr="00B832E0">
        <w:t>costs</w:t>
      </w:r>
      <w:r w:rsidRPr="00B832E0">
        <w:rPr>
          <w:spacing w:val="-13"/>
        </w:rPr>
        <w:t xml:space="preserve"> </w:t>
      </w:r>
      <w:r w:rsidRPr="00B832E0">
        <w:t>and</w:t>
      </w:r>
      <w:r w:rsidRPr="00B832E0">
        <w:rPr>
          <w:spacing w:val="-12"/>
        </w:rPr>
        <w:t xml:space="preserve"> </w:t>
      </w:r>
      <w:r w:rsidRPr="00B832E0">
        <w:t>liabilities</w:t>
      </w:r>
      <w:r w:rsidRPr="00B832E0">
        <w:rPr>
          <w:spacing w:val="-12"/>
        </w:rPr>
        <w:t xml:space="preserve"> </w:t>
      </w:r>
      <w:r w:rsidRPr="00B832E0">
        <w:t>that may</w:t>
      </w:r>
      <w:r w:rsidRPr="00B832E0">
        <w:rPr>
          <w:spacing w:val="-7"/>
        </w:rPr>
        <w:t xml:space="preserve"> </w:t>
      </w:r>
      <w:r w:rsidRPr="00B832E0">
        <w:t>be</w:t>
      </w:r>
      <w:r w:rsidRPr="00B832E0">
        <w:rPr>
          <w:spacing w:val="-6"/>
        </w:rPr>
        <w:t xml:space="preserve"> </w:t>
      </w:r>
      <w:r w:rsidRPr="00B832E0">
        <w:t>incurred</w:t>
      </w:r>
      <w:r w:rsidRPr="00B832E0">
        <w:rPr>
          <w:spacing w:val="-6"/>
        </w:rPr>
        <w:t xml:space="preserve"> </w:t>
      </w:r>
      <w:r w:rsidRPr="00B832E0">
        <w:t>by</w:t>
      </w:r>
      <w:r w:rsidRPr="00B832E0">
        <w:rPr>
          <w:spacing w:val="-7"/>
        </w:rPr>
        <w:t xml:space="preserve"> </w:t>
      </w:r>
      <w:r w:rsidRPr="00B832E0">
        <w:t>the</w:t>
      </w:r>
      <w:r w:rsidRPr="00B832E0">
        <w:rPr>
          <w:spacing w:val="-6"/>
        </w:rPr>
        <w:t xml:space="preserve"> </w:t>
      </w:r>
      <w:r w:rsidRPr="00B832E0">
        <w:t>State</w:t>
      </w:r>
      <w:r w:rsidRPr="00B832E0">
        <w:rPr>
          <w:spacing w:val="-6"/>
        </w:rPr>
        <w:t xml:space="preserve"> </w:t>
      </w:r>
      <w:r w:rsidRPr="00B832E0">
        <w:t>of</w:t>
      </w:r>
      <w:r w:rsidRPr="00B832E0">
        <w:rPr>
          <w:spacing w:val="-6"/>
        </w:rPr>
        <w:t xml:space="preserve"> </w:t>
      </w:r>
      <w:r w:rsidRPr="00B832E0">
        <w:t>New</w:t>
      </w:r>
      <w:r w:rsidRPr="00B832E0">
        <w:rPr>
          <w:spacing w:val="-7"/>
        </w:rPr>
        <w:t xml:space="preserve"> </w:t>
      </w:r>
      <w:r w:rsidRPr="00B832E0">
        <w:t>South</w:t>
      </w:r>
      <w:r w:rsidRPr="00B832E0">
        <w:rPr>
          <w:spacing w:val="-5"/>
        </w:rPr>
        <w:t xml:space="preserve"> </w:t>
      </w:r>
      <w:r w:rsidRPr="00B832E0">
        <w:t>Wales</w:t>
      </w:r>
      <w:r w:rsidRPr="00B832E0">
        <w:rPr>
          <w:spacing w:val="-7"/>
        </w:rPr>
        <w:t xml:space="preserve"> </w:t>
      </w:r>
      <w:r w:rsidRPr="00B832E0">
        <w:t>arising</w:t>
      </w:r>
      <w:r w:rsidRPr="00B832E0">
        <w:rPr>
          <w:spacing w:val="-7"/>
        </w:rPr>
        <w:t xml:space="preserve"> </w:t>
      </w:r>
      <w:r w:rsidRPr="00B832E0">
        <w:t>under</w:t>
      </w:r>
      <w:r w:rsidRPr="00B832E0">
        <w:rPr>
          <w:spacing w:val="-6"/>
        </w:rPr>
        <w:t xml:space="preserve"> </w:t>
      </w:r>
      <w:r w:rsidRPr="00B832E0">
        <w:t>the</w:t>
      </w:r>
      <w:r w:rsidRPr="00B832E0">
        <w:rPr>
          <w:spacing w:val="-1"/>
        </w:rPr>
        <w:t xml:space="preserve"> </w:t>
      </w:r>
      <w:r w:rsidRPr="00B832E0">
        <w:rPr>
          <w:i/>
        </w:rPr>
        <w:t>Native</w:t>
      </w:r>
      <w:r w:rsidRPr="00B832E0">
        <w:rPr>
          <w:i/>
          <w:spacing w:val="-7"/>
        </w:rPr>
        <w:t> </w:t>
      </w:r>
      <w:r w:rsidRPr="00B832E0">
        <w:rPr>
          <w:i/>
        </w:rPr>
        <w:t>Title</w:t>
      </w:r>
      <w:r w:rsidRPr="00B832E0">
        <w:rPr>
          <w:i/>
          <w:spacing w:val="-5"/>
        </w:rPr>
        <w:t> </w:t>
      </w:r>
      <w:r w:rsidRPr="00B832E0">
        <w:rPr>
          <w:i/>
        </w:rPr>
        <w:t>Act</w:t>
      </w:r>
      <w:r w:rsidRPr="00B832E0">
        <w:rPr>
          <w:i/>
          <w:spacing w:val="-6"/>
        </w:rPr>
        <w:t> </w:t>
      </w:r>
      <w:r w:rsidRPr="00B832E0">
        <w:rPr>
          <w:i/>
        </w:rPr>
        <w:t xml:space="preserve">1993 (Cth) </w:t>
      </w:r>
      <w:r w:rsidRPr="00B832E0">
        <w:t xml:space="preserve">associated with the construction of a rail bridge over the Georges River </w:t>
      </w:r>
      <w:r w:rsidRPr="00B832E0">
        <w:rPr>
          <w:spacing w:val="4"/>
        </w:rPr>
        <w:t xml:space="preserve">to </w:t>
      </w:r>
      <w:r w:rsidRPr="00B832E0">
        <w:t>the Moorebank Intermodal Terminal. The likelihood of costs being incurred is considered remote and potential costs are unquantifiable.</w:t>
      </w:r>
    </w:p>
    <w:p w14:paraId="1D8F6462" w14:textId="77777777" w:rsidR="00DD4DE1" w:rsidRPr="00BE6C2E" w:rsidRDefault="00DD4DE1" w:rsidP="00F5415A">
      <w:pPr>
        <w:pStyle w:val="Heading4"/>
        <w:keepLines/>
        <w:rPr>
          <w:rFonts w:eastAsia="Arial"/>
          <w:lang w:val="en-US"/>
        </w:rPr>
      </w:pPr>
      <w:bookmarkStart w:id="164" w:name="_Toc71117869"/>
      <w:bookmarkEnd w:id="156"/>
      <w:r w:rsidRPr="00BE6C2E">
        <w:rPr>
          <w:rFonts w:eastAsia="Arial"/>
          <w:lang w:val="en-US"/>
        </w:rPr>
        <w:lastRenderedPageBreak/>
        <w:t xml:space="preserve">Service Delivery Arrangement Indemnities </w:t>
      </w:r>
      <w:r>
        <w:rPr>
          <w:rFonts w:eastAsia="Calibri"/>
        </w:rPr>
        <w:t>–</w:t>
      </w:r>
      <w:r w:rsidRPr="00BE6C2E">
        <w:rPr>
          <w:rFonts w:eastAsia="Arial"/>
          <w:lang w:val="en-US"/>
        </w:rPr>
        <w:t xml:space="preserve"> Indian Ocean Territories and Jervis Bay Territory</w:t>
      </w:r>
      <w:bookmarkEnd w:id="164"/>
    </w:p>
    <w:p w14:paraId="210AD87F" w14:textId="6E6DCB15" w:rsidR="00DD4DE1" w:rsidRPr="00D92D94" w:rsidRDefault="00DD4DE1" w:rsidP="00F5415A">
      <w:pPr>
        <w:keepLines/>
      </w:pPr>
      <w:bookmarkStart w:id="165" w:name="_Toc71117870"/>
      <w:r w:rsidRPr="00D92D94">
        <w:t>Since 1992, the Australian Government has enter</w:t>
      </w:r>
      <w:r>
        <w:t>ed</w:t>
      </w:r>
      <w:r w:rsidRPr="00D92D94">
        <w:t xml:space="preserve"> into Service Delivery Arrangements with the Western Australian (WA) Government for the provision of services to the Indian Ocean Territories of Christmas Island and the Cocos (Keeling) Islands. The </w:t>
      </w:r>
      <w:r w:rsidR="001F3211">
        <w:t>Australian</w:t>
      </w:r>
      <w:r w:rsidR="001B29B3">
        <w:t xml:space="preserve"> </w:t>
      </w:r>
      <w:r w:rsidR="001F3211">
        <w:t>Government</w:t>
      </w:r>
      <w:r w:rsidRPr="00D92D94">
        <w:t xml:space="preserve"> has provided certain indemnities for the WA Government</w:t>
      </w:r>
      <w:r>
        <w:t xml:space="preserve"> and</w:t>
      </w:r>
      <w:r w:rsidRPr="00D92D94">
        <w:t xml:space="preserve"> </w:t>
      </w:r>
      <w:r>
        <w:t>its</w:t>
      </w:r>
      <w:r w:rsidRPr="00D92D94">
        <w:t xml:space="preserve"> respective officers, agents, contractors and employees against civil claims relating to their employment and conduct as officers.</w:t>
      </w:r>
    </w:p>
    <w:p w14:paraId="38205242" w14:textId="77777777" w:rsidR="00DD4DE1" w:rsidRPr="00D92D94" w:rsidRDefault="00DD4DE1" w:rsidP="00F5415A">
      <w:r w:rsidRPr="00D92D94">
        <w:t xml:space="preserve">The Australian Capital Territory (ACT) provides services to the Jervis Bay Territory under </w:t>
      </w:r>
      <w:r>
        <w:t xml:space="preserve">a </w:t>
      </w:r>
      <w:r w:rsidRPr="00D92D94">
        <w:t>Memorand</w:t>
      </w:r>
      <w:r>
        <w:t>um</w:t>
      </w:r>
      <w:r w:rsidRPr="00D92D94">
        <w:t xml:space="preserve"> of Understanding. The Australian Government has provided certain indemnities for the ACT Government authorities and officials </w:t>
      </w:r>
      <w:r>
        <w:t>in relation to</w:t>
      </w:r>
      <w:r w:rsidRPr="00D92D94">
        <w:t xml:space="preserve"> the delivery of services to the Jervis Bay Territory.</w:t>
      </w:r>
    </w:p>
    <w:p w14:paraId="4B008AD0" w14:textId="253F1096" w:rsidR="00DD4DE1" w:rsidRPr="0020057C" w:rsidRDefault="00DD4DE1" w:rsidP="00F5415A">
      <w:r w:rsidRPr="00D92D94">
        <w:t xml:space="preserve">The likelihood of an event occurring that may result in a liability for the </w:t>
      </w:r>
      <w:r w:rsidR="001F3211">
        <w:t>Australian</w:t>
      </w:r>
      <w:r w:rsidR="001B29B3">
        <w:t xml:space="preserve"> </w:t>
      </w:r>
      <w:r w:rsidR="001F3211">
        <w:t>Government</w:t>
      </w:r>
      <w:r w:rsidRPr="00D92D94">
        <w:t xml:space="preserve"> has been assessed as remote and the risks are currently mitigated through the training and professional qualifications of the staff of these agencies</w:t>
      </w:r>
      <w:r>
        <w:t xml:space="preserve"> and the existence of systems, processes and standards for the delivery of services.</w:t>
      </w:r>
      <w:bookmarkEnd w:id="165"/>
    </w:p>
    <w:p w14:paraId="6EDA296C" w14:textId="77777777" w:rsidR="00DD4DE1" w:rsidRDefault="00DD4DE1" w:rsidP="00F5415A">
      <w:r>
        <w:br w:type="page"/>
      </w:r>
    </w:p>
    <w:p w14:paraId="0C5D64CD" w14:textId="77777777" w:rsidR="009D70F5" w:rsidRPr="00B832E0" w:rsidRDefault="009D70F5" w:rsidP="001078E4">
      <w:pPr>
        <w:pStyle w:val="Heading2"/>
      </w:pPr>
      <w:bookmarkStart w:id="166" w:name="_Toc166165526"/>
      <w:r w:rsidRPr="00B832E0">
        <w:lastRenderedPageBreak/>
        <w:t>Prime Minister and Cabinet</w:t>
      </w:r>
      <w:bookmarkEnd w:id="148"/>
      <w:bookmarkEnd w:id="166"/>
    </w:p>
    <w:p w14:paraId="4E002BC6" w14:textId="77777777" w:rsidR="00E652C5" w:rsidRPr="00B832E0" w:rsidRDefault="00E652C5" w:rsidP="001078E4">
      <w:pPr>
        <w:pStyle w:val="Heading3"/>
        <w:spacing w:after="240"/>
      </w:pPr>
      <w:bookmarkStart w:id="167" w:name="_Toc71117873"/>
      <w:bookmarkStart w:id="168" w:name="_Toc99141891"/>
      <w:bookmarkStart w:id="169" w:name="_Toc166165527"/>
      <w:bookmarkStart w:id="170" w:name="_Toc99141893"/>
      <w:r w:rsidRPr="00B832E0">
        <w:t>Contingent liabilit</w:t>
      </w:r>
      <w:r>
        <w:t xml:space="preserve">y </w:t>
      </w:r>
      <w:r w:rsidRPr="00B832E0">
        <w:t>– unquantifiable</w:t>
      </w:r>
      <w:bookmarkEnd w:id="167"/>
      <w:bookmarkEnd w:id="168"/>
      <w:bookmarkEnd w:id="169"/>
    </w:p>
    <w:p w14:paraId="779C23A4" w14:textId="77777777" w:rsidR="00E652C5" w:rsidRPr="00B832E0" w:rsidRDefault="00E652C5" w:rsidP="001078E4">
      <w:pPr>
        <w:pStyle w:val="Heading4"/>
      </w:pPr>
      <w:r w:rsidRPr="00B832E0">
        <w:rPr>
          <w:i/>
        </w:rPr>
        <w:t>McDonald v Commonwealth</w:t>
      </w:r>
      <w:r w:rsidRPr="00B832E0">
        <w:t xml:space="preserve"> (Stolen Wages Class Action)</w:t>
      </w:r>
    </w:p>
    <w:p w14:paraId="3C104D2E" w14:textId="3DF9BA15" w:rsidR="00E652C5" w:rsidRPr="00B75ADC" w:rsidRDefault="00E652C5" w:rsidP="00F5415A">
      <w:pPr>
        <w:rPr>
          <w:rFonts w:eastAsiaTheme="minorEastAsia"/>
          <w:lang w:val="en-US"/>
        </w:rPr>
      </w:pPr>
      <w:bookmarkStart w:id="171" w:name="_Toc71117876"/>
      <w:bookmarkStart w:id="172" w:name="_Toc99141892"/>
      <w:r w:rsidRPr="0AE0DC10">
        <w:rPr>
          <w:rFonts w:eastAsiaTheme="minorEastAsia"/>
          <w:lang w:val="en-US"/>
        </w:rPr>
        <w:t xml:space="preserve">A class action against the Commonwealth has been filed in the Victorian Registry </w:t>
      </w:r>
      <w:r>
        <w:rPr>
          <w:rFonts w:eastAsiaTheme="minorEastAsia"/>
          <w:lang w:val="en-US"/>
        </w:rPr>
        <w:t xml:space="preserve">of the </w:t>
      </w:r>
      <w:r w:rsidRPr="0AE0DC10">
        <w:rPr>
          <w:rFonts w:eastAsiaTheme="minorEastAsia"/>
          <w:lang w:val="en-US"/>
        </w:rPr>
        <w:t xml:space="preserve">Federal Court on behalf of all Aboriginal and Torres Strait Islander persons who lived and worked in the Northern Territory during the period 1 June 1933 to 12 November 1971, and whose wages were allegedly unjustly withheld, inadequate or not paid </w:t>
      </w:r>
      <w:bookmarkStart w:id="173" w:name="_Int_Rct6x0q2"/>
      <w:r w:rsidRPr="0AE0DC10">
        <w:rPr>
          <w:rFonts w:eastAsiaTheme="minorEastAsia"/>
          <w:lang w:val="en-US"/>
        </w:rPr>
        <w:t>as a result of</w:t>
      </w:r>
      <w:bookmarkEnd w:id="173"/>
      <w:r w:rsidRPr="0AE0DC10">
        <w:rPr>
          <w:rFonts w:eastAsiaTheme="minorEastAsia"/>
          <w:lang w:val="en-US"/>
        </w:rPr>
        <w:t xml:space="preserve"> wage control legislation. Costs associated with this litigation (if any) and any potential related future litigation are not quantifiable until the matter is determined by the Court or otherwise resolved.</w:t>
      </w:r>
    </w:p>
    <w:p w14:paraId="586DA843" w14:textId="77777777" w:rsidR="00E652C5" w:rsidRPr="00B832E0" w:rsidRDefault="00E652C5" w:rsidP="001078E4">
      <w:pPr>
        <w:pStyle w:val="Heading3"/>
        <w:rPr>
          <w:rFonts w:ascii="Arial" w:eastAsia="Arial" w:hAnsi="Arial" w:cs="Arial"/>
          <w:b w:val="0"/>
          <w:lang w:val="en-US"/>
        </w:rPr>
      </w:pPr>
      <w:bookmarkStart w:id="174" w:name="_Toc166165528"/>
      <w:r w:rsidRPr="00B832E0">
        <w:t>Contingent liability – quantifiable</w:t>
      </w:r>
      <w:bookmarkEnd w:id="171"/>
      <w:bookmarkEnd w:id="172"/>
      <w:bookmarkEnd w:id="174"/>
    </w:p>
    <w:p w14:paraId="01DD0848" w14:textId="14D7B3AE" w:rsidR="00E652C5" w:rsidRDefault="00E652C5" w:rsidP="001078E4">
      <w:pPr>
        <w:pStyle w:val="Heading4"/>
      </w:pPr>
      <w:r w:rsidRPr="00166E5C">
        <w:t xml:space="preserve">Indigenous Land and Sea Corporation </w:t>
      </w:r>
      <w:r>
        <w:rPr>
          <w:rFonts w:hint="eastAsia"/>
        </w:rPr>
        <w:t>–</w:t>
      </w:r>
      <w:r w:rsidRPr="00166E5C">
        <w:t xml:space="preserve"> Voyages Indigenous Tourism Australia</w:t>
      </w:r>
    </w:p>
    <w:p w14:paraId="179361E3" w14:textId="77777777" w:rsidR="00E652C5" w:rsidRPr="00597716" w:rsidRDefault="00E652C5" w:rsidP="00F5415A">
      <w:r w:rsidRPr="00597716">
        <w:t>Voyages Indigenous Tourism Australia Pty Ltd (Voyages), the owners of the Ayers Rock Resort, ha</w:t>
      </w:r>
      <w:r>
        <w:t>s</w:t>
      </w:r>
      <w:r w:rsidRPr="00597716">
        <w:t xml:space="preserve"> debt facilities with ANZ </w:t>
      </w:r>
      <w:r>
        <w:t xml:space="preserve">Banking Group Limited </w:t>
      </w:r>
      <w:r w:rsidRPr="00597716">
        <w:t>($11</w:t>
      </w:r>
      <w:r>
        <w:t>0</w:t>
      </w:r>
      <w:r w:rsidRPr="00597716">
        <w:t>.5</w:t>
      </w:r>
      <w:r>
        <w:t> million</w:t>
      </w:r>
      <w:r w:rsidRPr="00597716">
        <w:t>) and the Northern Australia Infrastructure Facility ($27.5</w:t>
      </w:r>
      <w:r>
        <w:t> million</w:t>
      </w:r>
      <w:r w:rsidRPr="00597716">
        <w:t>). The Indigenous Land and Sea Corporation is the guarantor for each of these facilities.</w:t>
      </w:r>
    </w:p>
    <w:p w14:paraId="0C1F0FFF" w14:textId="5B3853D9" w:rsidR="00E652C5" w:rsidRDefault="00E652C5" w:rsidP="00F5415A">
      <w:pPr>
        <w:rPr>
          <w:rFonts w:eastAsia="Book Antiqua"/>
        </w:rPr>
      </w:pPr>
      <w:r>
        <w:rPr>
          <w:rFonts w:eastAsiaTheme="minorEastAsia"/>
          <w:lang w:val="en-US"/>
        </w:rPr>
        <w:t>While</w:t>
      </w:r>
      <w:r w:rsidRPr="00960610">
        <w:rPr>
          <w:rFonts w:eastAsiaTheme="minorEastAsia"/>
          <w:lang w:val="en-US"/>
        </w:rPr>
        <w:t xml:space="preserve"> Ayers Rock Resort</w:t>
      </w:r>
      <w:r w:rsidR="00D737F9">
        <w:rPr>
          <w:rFonts w:eastAsiaTheme="minorEastAsia"/>
          <w:lang w:val="en-US"/>
        </w:rPr>
        <w:t>’</w:t>
      </w:r>
      <w:r w:rsidRPr="00960610">
        <w:rPr>
          <w:rFonts w:eastAsiaTheme="minorEastAsia"/>
          <w:lang w:val="en-US"/>
        </w:rPr>
        <w:t>s performance has not, as yet, recovered to pre</w:t>
      </w:r>
      <w:r w:rsidR="00D737F9">
        <w:rPr>
          <w:rFonts w:eastAsiaTheme="minorEastAsia"/>
          <w:lang w:val="en-US"/>
        </w:rPr>
        <w:noBreakHyphen/>
      </w:r>
      <w:r>
        <w:rPr>
          <w:rFonts w:eastAsiaTheme="minorEastAsia"/>
          <w:lang w:val="en-US"/>
        </w:rPr>
        <w:t>p</w:t>
      </w:r>
      <w:r w:rsidRPr="00960610">
        <w:rPr>
          <w:rFonts w:eastAsiaTheme="minorEastAsia"/>
          <w:lang w:val="en-US"/>
        </w:rPr>
        <w:t>andemic levels, there has been significant improvement over 2022</w:t>
      </w:r>
      <w:r w:rsidR="00CB05B6">
        <w:rPr>
          <w:rFonts w:eastAsiaTheme="minorEastAsia"/>
          <w:lang w:val="en-US"/>
        </w:rPr>
        <w:t>–</w:t>
      </w:r>
      <w:r w:rsidRPr="00960610">
        <w:rPr>
          <w:rFonts w:eastAsiaTheme="minorEastAsia"/>
          <w:lang w:val="en-US"/>
        </w:rPr>
        <w:t>23 and into 2023</w:t>
      </w:r>
      <w:r w:rsidR="00CB05B6">
        <w:rPr>
          <w:rFonts w:eastAsiaTheme="minorEastAsia"/>
          <w:lang w:val="en-US"/>
        </w:rPr>
        <w:t>–</w:t>
      </w:r>
      <w:r w:rsidRPr="00960610">
        <w:rPr>
          <w:rFonts w:eastAsiaTheme="minorEastAsia"/>
          <w:lang w:val="en-US"/>
        </w:rPr>
        <w:t>24 due to increased tourism activity.</w:t>
      </w:r>
      <w:r>
        <w:rPr>
          <w:rFonts w:eastAsia="Book Antiqua"/>
        </w:rPr>
        <w:br w:type="page"/>
      </w:r>
    </w:p>
    <w:p w14:paraId="33ED1455" w14:textId="3214CAD7" w:rsidR="009D70F5" w:rsidRPr="00B832E0" w:rsidRDefault="009D70F5" w:rsidP="001078E4">
      <w:pPr>
        <w:pStyle w:val="Heading2"/>
      </w:pPr>
      <w:bookmarkStart w:id="175" w:name="_Toc166165529"/>
      <w:r w:rsidRPr="00B832E0">
        <w:lastRenderedPageBreak/>
        <w:t>Social Services</w:t>
      </w:r>
      <w:bookmarkEnd w:id="170"/>
      <w:bookmarkEnd w:id="175"/>
    </w:p>
    <w:p w14:paraId="4AEAE212" w14:textId="77777777" w:rsidR="00622FF3" w:rsidRPr="00B832E0" w:rsidRDefault="00622FF3" w:rsidP="001078E4">
      <w:pPr>
        <w:pStyle w:val="Heading3"/>
      </w:pPr>
      <w:bookmarkStart w:id="176" w:name="_Toc99141894"/>
      <w:bookmarkStart w:id="177" w:name="_Toc166165530"/>
      <w:bookmarkStart w:id="178" w:name="_Toc99141896"/>
      <w:r w:rsidRPr="00B832E0">
        <w:t xml:space="preserve">Fiscal </w:t>
      </w:r>
      <w:r w:rsidRPr="003669F3">
        <w:t>Risk</w:t>
      </w:r>
      <w:bookmarkEnd w:id="176"/>
      <w:r w:rsidRPr="003669F3">
        <w:t>s</w:t>
      </w:r>
      <w:bookmarkEnd w:id="177"/>
    </w:p>
    <w:p w14:paraId="2FEFA94D" w14:textId="62B66F86" w:rsidR="00622FF3" w:rsidRPr="00B832E0" w:rsidRDefault="00622FF3" w:rsidP="001078E4">
      <w:pPr>
        <w:pStyle w:val="Heading4"/>
      </w:pPr>
      <w:r w:rsidRPr="00B832E0">
        <w:t>COVID</w:t>
      </w:r>
      <w:r w:rsidR="00D737F9">
        <w:noBreakHyphen/>
      </w:r>
      <w:r w:rsidRPr="00B832E0">
        <w:t xml:space="preserve">19 and disaster social </w:t>
      </w:r>
      <w:r>
        <w:t>security</w:t>
      </w:r>
      <w:r w:rsidRPr="00B832E0">
        <w:t xml:space="preserve"> debt pause for specified areas</w:t>
      </w:r>
    </w:p>
    <w:p w14:paraId="183EC3DF" w14:textId="40033FB3" w:rsidR="00622FF3" w:rsidRPr="00B832E0" w:rsidRDefault="00622FF3" w:rsidP="00F5415A">
      <w:pPr>
        <w:rPr>
          <w:rFonts w:eastAsia="Book Antiqua"/>
        </w:rPr>
      </w:pPr>
      <w:r w:rsidRPr="00B832E0">
        <w:rPr>
          <w:rFonts w:eastAsia="Book Antiqua"/>
        </w:rPr>
        <w:t>The Australian Government implemented a temporary pause on a range of debt activities from 4 August</w:t>
      </w:r>
      <w:r>
        <w:rPr>
          <w:rFonts w:eastAsia="Book Antiqua"/>
        </w:rPr>
        <w:t> </w:t>
      </w:r>
      <w:r w:rsidRPr="00B832E0">
        <w:rPr>
          <w:rFonts w:eastAsia="Book Antiqua"/>
        </w:rPr>
        <w:t>2021 in New South Wales, Victoria, the Australian Capital Territory and 11 Local Government Areas in South East Queensland. This was undertaken to help ease</w:t>
      </w:r>
      <w:r w:rsidR="00F5415A">
        <w:rPr>
          <w:rFonts w:eastAsia="Book Antiqua"/>
        </w:rPr>
        <w:t> </w:t>
      </w:r>
      <w:r w:rsidRPr="00B832E0">
        <w:rPr>
          <w:rFonts w:eastAsia="Book Antiqua"/>
        </w:rPr>
        <w:t>pressure on people subject to stay at home orders and natural disaster impacts. Since</w:t>
      </w:r>
      <w:r>
        <w:rPr>
          <w:rFonts w:eastAsia="Book Antiqua"/>
        </w:rPr>
        <w:t> </w:t>
      </w:r>
      <w:r w:rsidRPr="00B832E0">
        <w:rPr>
          <w:rFonts w:eastAsia="Book Antiqua"/>
        </w:rPr>
        <w:t>1</w:t>
      </w:r>
      <w:r w:rsidR="00D9795C">
        <w:rPr>
          <w:rFonts w:eastAsia="Book Antiqua"/>
        </w:rPr>
        <w:t> July </w:t>
      </w:r>
      <w:r w:rsidRPr="00B832E0">
        <w:rPr>
          <w:rFonts w:eastAsia="Book Antiqua"/>
        </w:rPr>
        <w:t>2022, consistent with the easing of COVID</w:t>
      </w:r>
      <w:r w:rsidR="00D737F9">
        <w:rPr>
          <w:rFonts w:eastAsia="Book Antiqua"/>
        </w:rPr>
        <w:noBreakHyphen/>
      </w:r>
      <w:r w:rsidRPr="00B832E0">
        <w:rPr>
          <w:rFonts w:eastAsia="Book Antiqua"/>
        </w:rPr>
        <w:t>19</w:t>
      </w:r>
      <w:r>
        <w:rPr>
          <w:rFonts w:eastAsia="Book Antiqua"/>
        </w:rPr>
        <w:t> </w:t>
      </w:r>
      <w:r w:rsidRPr="00B832E0">
        <w:rPr>
          <w:rFonts w:eastAsia="Book Antiqua"/>
        </w:rPr>
        <w:t xml:space="preserve">restrictions, Services Australia has progressively lifted debt pauses associated with the pandemic and natural disasters. </w:t>
      </w:r>
    </w:p>
    <w:p w14:paraId="3AECEDC5" w14:textId="77777777" w:rsidR="00622FF3" w:rsidRPr="00B832E0" w:rsidRDefault="00622FF3" w:rsidP="00F5415A">
      <w:pPr>
        <w:rPr>
          <w:rFonts w:eastAsia="Book Antiqua"/>
        </w:rPr>
      </w:pPr>
      <w:r w:rsidRPr="00B832E0">
        <w:rPr>
          <w:rFonts w:eastAsia="Book Antiqua"/>
        </w:rPr>
        <w:t>There is currently an unquantifiable financial risk as the financial impacts of the debt pause over</w:t>
      </w:r>
      <w:r>
        <w:rPr>
          <w:rFonts w:eastAsia="Book Antiqua"/>
        </w:rPr>
        <w:t> </w:t>
      </w:r>
      <w:r w:rsidRPr="00B832E0">
        <w:rPr>
          <w:rFonts w:eastAsia="Book Antiqua"/>
        </w:rPr>
        <w:t>2020–21 and</w:t>
      </w:r>
      <w:r>
        <w:rPr>
          <w:rFonts w:eastAsia="Book Antiqua"/>
        </w:rPr>
        <w:t> </w:t>
      </w:r>
      <w:r w:rsidRPr="00B832E0">
        <w:rPr>
          <w:rFonts w:eastAsia="Book Antiqua"/>
        </w:rPr>
        <w:t xml:space="preserve">2021–22 are yet to be fully realised. </w:t>
      </w:r>
    </w:p>
    <w:p w14:paraId="2E6A7B67" w14:textId="0BE14438" w:rsidR="00622FF3" w:rsidRDefault="00622FF3" w:rsidP="001078E4">
      <w:pPr>
        <w:pStyle w:val="Heading4"/>
      </w:pPr>
      <w:r w:rsidRPr="00B832E0">
        <w:t>National Disability Insurance Scheme</w:t>
      </w:r>
    </w:p>
    <w:p w14:paraId="632AE547" w14:textId="1ABDB655" w:rsidR="0064224E" w:rsidRPr="0064224E" w:rsidRDefault="0064224E" w:rsidP="00F5415A">
      <w:pPr>
        <w:rPr>
          <w:rFonts w:eastAsia="Book Antiqua"/>
        </w:rPr>
      </w:pPr>
      <w:r w:rsidRPr="0064224E">
        <w:rPr>
          <w:rFonts w:eastAsia="Book Antiqua"/>
        </w:rPr>
        <w:t>The National Disability Insurance Scheme (NDIS) provides Australians with permanent and significant disability with financial support to build capacity, increase independence and establish stronger connections with their community.</w:t>
      </w:r>
    </w:p>
    <w:p w14:paraId="53B7DA7A" w14:textId="0477119A" w:rsidR="0064224E" w:rsidRPr="0064224E" w:rsidRDefault="0064224E" w:rsidP="00F5415A">
      <w:pPr>
        <w:rPr>
          <w:rFonts w:eastAsia="Book Antiqua"/>
        </w:rPr>
      </w:pPr>
      <w:r w:rsidRPr="0064224E">
        <w:rPr>
          <w:rFonts w:eastAsia="Book Antiqua"/>
        </w:rPr>
        <w:t>As with other demand</w:t>
      </w:r>
      <w:r w:rsidR="00D737F9">
        <w:rPr>
          <w:rFonts w:eastAsia="Book Antiqua"/>
        </w:rPr>
        <w:noBreakHyphen/>
      </w:r>
      <w:r w:rsidRPr="0064224E">
        <w:rPr>
          <w:rFonts w:eastAsia="Book Antiqua"/>
        </w:rPr>
        <w:t xml:space="preserve">driven programs, the estimated costs for the NDIS are subject to adjustments to reflect observed changes in actual payments. As the Scheme is relatively new, there is greater potential for changes in forecasts of the number of participants, the funds allocated in participant support packages, the payments by participants from those funds for supports, and the resourcing required by the National Disability Insurance Agency to administer the Scheme. </w:t>
      </w:r>
    </w:p>
    <w:p w14:paraId="58B6CE7F" w14:textId="20AAE405" w:rsidR="0064224E" w:rsidRPr="0064224E" w:rsidRDefault="0064224E" w:rsidP="00F5415A">
      <w:pPr>
        <w:rPr>
          <w:rFonts w:eastAsia="Book Antiqua"/>
        </w:rPr>
      </w:pPr>
      <w:r w:rsidRPr="0064224E">
        <w:rPr>
          <w:rFonts w:eastAsia="Book Antiqua"/>
        </w:rPr>
        <w:t>National Cabinet has committed to a NDIS Financial Sustainability Framework to ensure the Scheme is sustainable in the long term, with an annual growth target for Scheme costs of no more than 8</w:t>
      </w:r>
      <w:r w:rsidR="00BD3D7E">
        <w:rPr>
          <w:rFonts w:eastAsia="Book Antiqua"/>
        </w:rPr>
        <w:t> per cent</w:t>
      </w:r>
      <w:r w:rsidRPr="0064224E">
        <w:rPr>
          <w:rFonts w:eastAsia="Book Antiqua"/>
        </w:rPr>
        <w:t xml:space="preserve"> from 1</w:t>
      </w:r>
      <w:r w:rsidR="00D9795C">
        <w:rPr>
          <w:rFonts w:eastAsia="Book Antiqua"/>
        </w:rPr>
        <w:t> July </w:t>
      </w:r>
      <w:r w:rsidRPr="0064224E">
        <w:rPr>
          <w:rFonts w:eastAsia="Book Antiqua"/>
        </w:rPr>
        <w:t>2026. On 27</w:t>
      </w:r>
      <w:r w:rsidR="00D9795C">
        <w:rPr>
          <w:rFonts w:eastAsia="Book Antiqua"/>
        </w:rPr>
        <w:t> March </w:t>
      </w:r>
      <w:r w:rsidRPr="0064224E">
        <w:rPr>
          <w:rFonts w:eastAsia="Book Antiqua"/>
        </w:rPr>
        <w:t>2024 the Government introduced the National Disability Insurance Scheme Amendment (Getting the NDIS Back on Track) Bill 2024 No. 1 (the Bill) to Parliament. Changes in the Bill and subsequent amendments to NDIS rules and other legislative instruments will moderate growth in NDIS expenditure, by determining NDIS participant plan budgets more consistently based on participant need and supporting participants to spend in accordance with their plans. The realisation of the financial projections for the NDIS is dependent on the successful implementation of the Financial Sustainability Framework, including the passage of the Bill and subsequent changes to NDIS rules and other legislative instruments.</w:t>
      </w:r>
    </w:p>
    <w:p w14:paraId="460CFA48" w14:textId="77777777" w:rsidR="00622FF3" w:rsidRDefault="00622FF3" w:rsidP="0063017F">
      <w:pPr>
        <w:pStyle w:val="Heading3"/>
        <w:keepLines/>
      </w:pPr>
      <w:bookmarkStart w:id="179" w:name="_Toc166165531"/>
      <w:r>
        <w:lastRenderedPageBreak/>
        <w:t xml:space="preserve">Contingent liability </w:t>
      </w:r>
      <w:r>
        <w:rPr>
          <w:rFonts w:hint="eastAsia"/>
        </w:rPr>
        <w:t>–</w:t>
      </w:r>
      <w:r>
        <w:t xml:space="preserve"> unquantifiable</w:t>
      </w:r>
      <w:bookmarkEnd w:id="179"/>
    </w:p>
    <w:p w14:paraId="7AEA6A27" w14:textId="77777777" w:rsidR="00622FF3" w:rsidRPr="006E7CB9" w:rsidRDefault="00622FF3" w:rsidP="0063017F">
      <w:pPr>
        <w:pStyle w:val="Heading4"/>
        <w:keepLines/>
        <w:rPr>
          <w:rFonts w:eastAsia="Arial"/>
          <w:lang w:val="en-US"/>
        </w:rPr>
      </w:pPr>
      <w:r>
        <w:rPr>
          <w:rFonts w:eastAsia="Arial"/>
          <w:lang w:val="en-US"/>
        </w:rPr>
        <w:t>Income apportionment and debt pause</w:t>
      </w:r>
    </w:p>
    <w:p w14:paraId="0DF75DBF" w14:textId="38BAD490" w:rsidR="00622FF3" w:rsidRDefault="00622FF3" w:rsidP="0063017F">
      <w:pPr>
        <w:keepLines/>
      </w:pPr>
      <w:bookmarkStart w:id="180" w:name="_Hlk149925085"/>
      <w:r>
        <w:t>Following legislative changes made in</w:t>
      </w:r>
      <w:r w:rsidR="00D9795C">
        <w:t> November </w:t>
      </w:r>
      <w:r>
        <w:t>2020, from 7</w:t>
      </w:r>
      <w:r w:rsidR="00D9795C">
        <w:t> December </w:t>
      </w:r>
      <w:r>
        <w:t>2020 the Australian Government ceased calculating a customer</w:t>
      </w:r>
      <w:r w:rsidR="00D737F9">
        <w:t>’</w:t>
      </w:r>
      <w:r>
        <w:t>s income support entitlements for debts arising through income apportionment. This method was used in certain instances to</w:t>
      </w:r>
      <w:r w:rsidR="00956AA2">
        <w:t> </w:t>
      </w:r>
      <w:r>
        <w:t>evenly divide or apportion a customer</w:t>
      </w:r>
      <w:r w:rsidR="00D737F9">
        <w:t>’</w:t>
      </w:r>
      <w:r>
        <w:t>s employment income across two or more Centrelink fortnightly reporting periods. The legislative changes in</w:t>
      </w:r>
      <w:r w:rsidR="00D9795C">
        <w:t> November </w:t>
      </w:r>
      <w:r>
        <w:t>2020 simplified income reporting</w:t>
      </w:r>
      <w:bookmarkStart w:id="181" w:name="_Hlk149925007"/>
      <w:r>
        <w:t xml:space="preserve">: </w:t>
      </w:r>
      <w:bookmarkEnd w:id="181"/>
      <w:r>
        <w:t xml:space="preserve">income is now reported when it is received, removing the need for customers to calculate and report what they have earned each fortnight. </w:t>
      </w:r>
    </w:p>
    <w:p w14:paraId="65D41A5D" w14:textId="77777777" w:rsidR="00622FF3" w:rsidRDefault="00622FF3" w:rsidP="00F5415A">
      <w:r>
        <w:t>Where income apportionment was or may have been applied to recover certain Commonwealth social security debts prior to 7 December 2020, recovery activities have been paused while the Australian Government investigates a resolution.</w:t>
      </w:r>
    </w:p>
    <w:p w14:paraId="1504418C" w14:textId="77777777" w:rsidR="00622FF3" w:rsidRPr="00B832E0" w:rsidRDefault="00622FF3" w:rsidP="001078E4">
      <w:pPr>
        <w:pStyle w:val="Heading3"/>
      </w:pPr>
      <w:bookmarkStart w:id="182" w:name="_Toc99141895"/>
      <w:bookmarkStart w:id="183" w:name="_Toc166165532"/>
      <w:bookmarkEnd w:id="180"/>
      <w:r w:rsidRPr="00B832E0">
        <w:t>Contingent asset – quantifiable</w:t>
      </w:r>
      <w:bookmarkEnd w:id="182"/>
      <w:bookmarkEnd w:id="183"/>
    </w:p>
    <w:p w14:paraId="5F535094" w14:textId="77777777" w:rsidR="00622FF3" w:rsidRPr="00114905" w:rsidRDefault="00622FF3" w:rsidP="001078E4">
      <w:pPr>
        <w:pStyle w:val="Heading4"/>
        <w:rPr>
          <w:rFonts w:eastAsia="Arial"/>
          <w:lang w:val="en-US"/>
        </w:rPr>
      </w:pPr>
      <w:r w:rsidRPr="00114905">
        <w:rPr>
          <w:rFonts w:eastAsia="Arial"/>
          <w:lang w:val="en-US"/>
        </w:rPr>
        <w:t>National Redress Scheme</w:t>
      </w:r>
    </w:p>
    <w:p w14:paraId="1A472ADD" w14:textId="7DA06050" w:rsidR="00622FF3" w:rsidRPr="00EA5B35" w:rsidRDefault="00622FF3" w:rsidP="00F5415A">
      <w:r w:rsidRPr="00114905">
        <w:rPr>
          <w:iCs/>
        </w:rPr>
        <w:t xml:space="preserve">The </w:t>
      </w:r>
      <w:r w:rsidRPr="00114905">
        <w:rPr>
          <w:i/>
        </w:rPr>
        <w:t>National Redress Scheme</w:t>
      </w:r>
      <w:r w:rsidRPr="00DB31B2">
        <w:rPr>
          <w:i/>
          <w:iCs/>
        </w:rPr>
        <w:t xml:space="preserve"> for Institutional Child Sexual Abuse Act 2018</w:t>
      </w:r>
      <w:r>
        <w:t xml:space="preserve"> aims to support people who experienced institutional child sexual abuse from institutions participating in</w:t>
      </w:r>
      <w:r w:rsidR="00956AA2">
        <w:t> </w:t>
      </w:r>
      <w:r>
        <w:t>the National Redress Scheme to gain access to counselling and psychological services, a</w:t>
      </w:r>
      <w:r w:rsidR="00956AA2">
        <w:t> </w:t>
      </w:r>
      <w:r>
        <w:t>direct personal response from the responsible institution, and a monetary payment. The Department of Social Services (DSS) administers the National Redress Scheme. In this capacity, DSS makes the monetary payment to the survivor and then recovers the costs from the institution determined to be responsible for the abuse.</w:t>
      </w:r>
    </w:p>
    <w:p w14:paraId="374425BF" w14:textId="12530127" w:rsidR="00622FF3" w:rsidRDefault="00622FF3" w:rsidP="00F5415A">
      <w:pPr>
        <w:rPr>
          <w:rFonts w:eastAsiaTheme="minorEastAsia"/>
          <w:lang w:val="en-US"/>
        </w:rPr>
      </w:pPr>
      <w:r w:rsidRPr="7A248CF8">
        <w:rPr>
          <w:rFonts w:eastAsiaTheme="minorEastAsia"/>
          <w:lang w:val="en-US"/>
        </w:rPr>
        <w:t xml:space="preserve">As </w:t>
      </w:r>
      <w:bookmarkStart w:id="184" w:name="_Int_OrCBXFux"/>
      <w:r w:rsidRPr="7A248CF8">
        <w:rPr>
          <w:rFonts w:eastAsiaTheme="minorEastAsia"/>
          <w:lang w:val="en-US"/>
        </w:rPr>
        <w:t>at</w:t>
      </w:r>
      <w:bookmarkEnd w:id="184"/>
      <w:r w:rsidRPr="7A248CF8">
        <w:rPr>
          <w:rFonts w:eastAsiaTheme="minorEastAsia"/>
          <w:lang w:val="en-US"/>
        </w:rPr>
        <w:t xml:space="preserve"> </w:t>
      </w:r>
      <w:r w:rsidRPr="001B2E0D">
        <w:rPr>
          <w:rFonts w:eastAsiaTheme="minorEastAsia"/>
          <w:lang w:val="en-US"/>
        </w:rPr>
        <w:t>5</w:t>
      </w:r>
      <w:r w:rsidR="00D9795C">
        <w:rPr>
          <w:rFonts w:eastAsiaTheme="minorEastAsia"/>
          <w:lang w:val="en-US"/>
        </w:rPr>
        <w:t> March </w:t>
      </w:r>
      <w:r w:rsidRPr="001B2E0D">
        <w:rPr>
          <w:rFonts w:eastAsiaTheme="minorEastAsia"/>
          <w:lang w:val="en-US"/>
        </w:rPr>
        <w:t xml:space="preserve">2024, DSS has an administered quantifiable contingent asset of </w:t>
      </w:r>
      <w:r w:rsidRPr="00A32276">
        <w:rPr>
          <w:rFonts w:eastAsiaTheme="minorEastAsia"/>
          <w:lang w:val="en-US"/>
        </w:rPr>
        <w:t>$374.</w:t>
      </w:r>
      <w:r w:rsidRPr="00D80045">
        <w:rPr>
          <w:rFonts w:eastAsiaTheme="minorEastAsia"/>
          <w:lang w:val="en-US"/>
        </w:rPr>
        <w:t>1</w:t>
      </w:r>
      <w:r w:rsidR="0023629A">
        <w:rPr>
          <w:rFonts w:eastAsiaTheme="minorEastAsia"/>
          <w:lang w:val="en-US"/>
        </w:rPr>
        <w:t> </w:t>
      </w:r>
      <w:r w:rsidRPr="00A32276">
        <w:rPr>
          <w:rFonts w:eastAsiaTheme="minorEastAsia"/>
          <w:lang w:val="en-US"/>
        </w:rPr>
        <w:t>million in</w:t>
      </w:r>
      <w:r w:rsidRPr="7A248CF8">
        <w:rPr>
          <w:rFonts w:eastAsiaTheme="minorEastAsia"/>
          <w:lang w:val="en-US"/>
        </w:rPr>
        <w:t xml:space="preserve"> relation to the probable recovery from responsible institutions of monetary payments that may be made to survivors under the National Redress Scheme.</w:t>
      </w:r>
      <w:r>
        <w:t xml:space="preserve"> </w:t>
      </w:r>
      <w:r w:rsidRPr="7A248CF8">
        <w:rPr>
          <w:rFonts w:eastAsiaTheme="minorEastAsia"/>
          <w:lang w:val="en-US"/>
        </w:rPr>
        <w:t xml:space="preserve">The value is based on applications that have been referred to an </w:t>
      </w:r>
      <w:r>
        <w:rPr>
          <w:rFonts w:eastAsiaTheme="minorEastAsia"/>
          <w:lang w:val="en-US"/>
        </w:rPr>
        <w:t>i</w:t>
      </w:r>
      <w:r w:rsidRPr="7A248CF8">
        <w:rPr>
          <w:rFonts w:eastAsiaTheme="minorEastAsia"/>
          <w:lang w:val="en-US"/>
        </w:rPr>
        <w:t xml:space="preserve">ndependent </w:t>
      </w:r>
      <w:r>
        <w:rPr>
          <w:rFonts w:eastAsiaTheme="minorEastAsia"/>
          <w:lang w:val="en-US"/>
        </w:rPr>
        <w:t>d</w:t>
      </w:r>
      <w:r w:rsidRPr="7A248CF8">
        <w:rPr>
          <w:rFonts w:eastAsiaTheme="minorEastAsia"/>
          <w:lang w:val="en-US"/>
        </w:rPr>
        <w:t xml:space="preserve">ecision </w:t>
      </w:r>
      <w:r>
        <w:rPr>
          <w:rFonts w:eastAsiaTheme="minorEastAsia"/>
          <w:lang w:val="en-US"/>
        </w:rPr>
        <w:t>m</w:t>
      </w:r>
      <w:r w:rsidRPr="7A248CF8">
        <w:rPr>
          <w:rFonts w:eastAsiaTheme="minorEastAsia"/>
          <w:lang w:val="en-US"/>
        </w:rPr>
        <w:t>aker for assessment and the payment values.</w:t>
      </w:r>
    </w:p>
    <w:p w14:paraId="4C68D279" w14:textId="1D301F50" w:rsidR="00622FF3" w:rsidRDefault="00622FF3" w:rsidP="00F5415A">
      <w:r w:rsidRPr="7A248CF8">
        <w:rPr>
          <w:rFonts w:eastAsiaTheme="minorEastAsia"/>
          <w:lang w:val="en-US"/>
        </w:rPr>
        <w:t xml:space="preserve">As at </w:t>
      </w:r>
      <w:r w:rsidRPr="00E612A9">
        <w:rPr>
          <w:rFonts w:eastAsiaTheme="minorEastAsia"/>
          <w:lang w:val="en-US"/>
        </w:rPr>
        <w:t>5</w:t>
      </w:r>
      <w:r w:rsidR="00D9795C">
        <w:rPr>
          <w:rFonts w:eastAsiaTheme="minorEastAsia"/>
          <w:lang w:val="en-US"/>
        </w:rPr>
        <w:t> March </w:t>
      </w:r>
      <w:r w:rsidRPr="00E612A9">
        <w:rPr>
          <w:rFonts w:eastAsiaTheme="minorEastAsia"/>
          <w:lang w:val="en-US"/>
        </w:rPr>
        <w:t xml:space="preserve">2024, DSS has an administered quantifiable contingent liability of </w:t>
      </w:r>
      <w:r w:rsidRPr="00A32276">
        <w:rPr>
          <w:rFonts w:eastAsiaTheme="minorEastAsia"/>
          <w:lang w:val="en-US"/>
        </w:rPr>
        <w:t>$195.</w:t>
      </w:r>
      <w:r w:rsidRPr="00D80045">
        <w:rPr>
          <w:rFonts w:eastAsiaTheme="minorEastAsia"/>
          <w:lang w:val="en-US"/>
        </w:rPr>
        <w:t>5</w:t>
      </w:r>
      <w:r>
        <w:rPr>
          <w:rFonts w:eastAsiaTheme="minorEastAsia"/>
          <w:lang w:val="en-US"/>
        </w:rPr>
        <w:t> </w:t>
      </w:r>
      <w:r w:rsidRPr="00A32276">
        <w:rPr>
          <w:rFonts w:eastAsiaTheme="minorEastAsia"/>
          <w:lang w:val="en-US"/>
        </w:rPr>
        <w:t>million</w:t>
      </w:r>
      <w:r w:rsidRPr="7A248CF8">
        <w:rPr>
          <w:rFonts w:eastAsiaTheme="minorEastAsia"/>
          <w:lang w:val="en-US"/>
        </w:rPr>
        <w:t xml:space="preserve"> in relation to applications made under the National Redress Scheme</w:t>
      </w:r>
      <w:r w:rsidRPr="7A248CF8" w:rsidDel="00654EBA">
        <w:rPr>
          <w:rFonts w:eastAsiaTheme="minorEastAsia"/>
          <w:lang w:val="en-US"/>
        </w:rPr>
        <w:t xml:space="preserve"> </w:t>
      </w:r>
      <w:r w:rsidRPr="7A248CF8">
        <w:rPr>
          <w:rFonts w:eastAsiaTheme="minorEastAsia"/>
          <w:lang w:val="en-US"/>
        </w:rPr>
        <w:t xml:space="preserve">that have been referred to an </w:t>
      </w:r>
      <w:r>
        <w:rPr>
          <w:rFonts w:eastAsiaTheme="minorEastAsia"/>
          <w:lang w:val="en-US"/>
        </w:rPr>
        <w:t>i</w:t>
      </w:r>
      <w:r w:rsidRPr="7A248CF8">
        <w:rPr>
          <w:rFonts w:eastAsiaTheme="minorEastAsia"/>
          <w:lang w:val="en-US"/>
        </w:rPr>
        <w:t xml:space="preserve">ndependent </w:t>
      </w:r>
      <w:r>
        <w:rPr>
          <w:rFonts w:eastAsiaTheme="minorEastAsia"/>
          <w:lang w:val="en-US"/>
        </w:rPr>
        <w:t>d</w:t>
      </w:r>
      <w:r w:rsidRPr="7A248CF8">
        <w:rPr>
          <w:rFonts w:eastAsiaTheme="minorEastAsia"/>
          <w:lang w:val="en-US"/>
        </w:rPr>
        <w:t xml:space="preserve">ecision </w:t>
      </w:r>
      <w:r>
        <w:rPr>
          <w:rFonts w:eastAsiaTheme="minorEastAsia"/>
          <w:lang w:val="en-US"/>
        </w:rPr>
        <w:t>m</w:t>
      </w:r>
      <w:r w:rsidRPr="7A248CF8">
        <w:rPr>
          <w:rFonts w:eastAsiaTheme="minorEastAsia"/>
          <w:lang w:val="en-US"/>
        </w:rPr>
        <w:t xml:space="preserve">aker for assessment. </w:t>
      </w:r>
      <w:r>
        <w:t xml:space="preserve">The amount is based on the number of applications and the payment values. </w:t>
      </w:r>
    </w:p>
    <w:p w14:paraId="6C5F4DBC" w14:textId="77777777" w:rsidR="00622FF3" w:rsidRDefault="00622FF3" w:rsidP="00F5415A">
      <w:r>
        <w:t>The difference between the contingent asset and the contingent liability represents the net risk to the Budget from the National Redress Scheme.</w:t>
      </w:r>
    </w:p>
    <w:p w14:paraId="7B85CE74" w14:textId="109CFC72" w:rsidR="00622FF3" w:rsidRDefault="00622FF3" w:rsidP="00F5415A">
      <w:pPr>
        <w:rPr>
          <w:rFonts w:eastAsia="Book Antiqua"/>
        </w:rPr>
      </w:pPr>
      <w:r w:rsidRPr="00B832E0">
        <w:rPr>
          <w:rFonts w:eastAsia="Book Antiqua"/>
        </w:rPr>
        <w:t xml:space="preserve"> </w:t>
      </w:r>
      <w:r>
        <w:rPr>
          <w:rFonts w:eastAsia="Book Antiqua"/>
        </w:rPr>
        <w:br w:type="page"/>
      </w:r>
    </w:p>
    <w:p w14:paraId="48CCD74A" w14:textId="77777777" w:rsidR="009D70F5" w:rsidRPr="00B832E0" w:rsidRDefault="009D70F5" w:rsidP="001078E4">
      <w:pPr>
        <w:pStyle w:val="Heading2"/>
      </w:pPr>
      <w:bookmarkStart w:id="185" w:name="_Toc166165533"/>
      <w:r w:rsidRPr="00B832E0">
        <w:lastRenderedPageBreak/>
        <w:t>Treasury</w:t>
      </w:r>
      <w:bookmarkEnd w:id="178"/>
      <w:bookmarkEnd w:id="185"/>
    </w:p>
    <w:p w14:paraId="5B739E97" w14:textId="77777777" w:rsidR="002873A5" w:rsidRPr="00B832E0" w:rsidRDefault="002873A5" w:rsidP="001078E4">
      <w:pPr>
        <w:pStyle w:val="Heading3"/>
      </w:pPr>
      <w:bookmarkStart w:id="186" w:name="_Toc71117878"/>
      <w:bookmarkStart w:id="187" w:name="_Toc71117880"/>
      <w:bookmarkStart w:id="188" w:name="_Toc99141897"/>
      <w:bookmarkStart w:id="189" w:name="_Toc166165534"/>
      <w:bookmarkStart w:id="190" w:name="_Toc99141900"/>
      <w:bookmarkEnd w:id="186"/>
      <w:r w:rsidRPr="00B832E0">
        <w:t>Significant but remote contingencies</w:t>
      </w:r>
      <w:bookmarkEnd w:id="187"/>
      <w:bookmarkEnd w:id="188"/>
      <w:bookmarkEnd w:id="189"/>
    </w:p>
    <w:p w14:paraId="7D97E33D" w14:textId="77777777" w:rsidR="002873A5" w:rsidRPr="00B832E0" w:rsidRDefault="002873A5" w:rsidP="001078E4">
      <w:pPr>
        <w:pStyle w:val="Heading4"/>
      </w:pPr>
      <w:bookmarkStart w:id="191" w:name="_Toc71117881"/>
      <w:bookmarkStart w:id="192" w:name="_Toc71117882"/>
      <w:bookmarkStart w:id="193" w:name="_Toc71117883"/>
      <w:r w:rsidRPr="00B832E0">
        <w:t>Asbestos Injuries Compensation Fund</w:t>
      </w:r>
      <w:bookmarkEnd w:id="191"/>
    </w:p>
    <w:p w14:paraId="46F599F0" w14:textId="6F587FA2" w:rsidR="002873A5" w:rsidRPr="00AB0BAC" w:rsidRDefault="002873A5" w:rsidP="0063017F">
      <w:pPr>
        <w:rPr>
          <w:rFonts w:eastAsiaTheme="minorEastAsia"/>
          <w:lang w:val="en-US"/>
        </w:rPr>
      </w:pPr>
      <w:r w:rsidRPr="1809C9FA">
        <w:rPr>
          <w:rFonts w:eastAsiaTheme="minorEastAsia"/>
          <w:lang w:val="en-US"/>
        </w:rPr>
        <w:t>In</w:t>
      </w:r>
      <w:r w:rsidR="00D9795C">
        <w:rPr>
          <w:rFonts w:eastAsiaTheme="minorEastAsia"/>
          <w:lang w:val="en-US"/>
        </w:rPr>
        <w:t> February </w:t>
      </w:r>
      <w:r w:rsidRPr="1809C9FA">
        <w:rPr>
          <w:rFonts w:eastAsiaTheme="minorEastAsia"/>
          <w:lang w:val="en-US"/>
        </w:rPr>
        <w:t>2016, the Commonwealth agreed to assume one</w:t>
      </w:r>
      <w:r>
        <w:rPr>
          <w:rFonts w:eastAsiaTheme="minorEastAsia"/>
          <w:lang w:val="en-US"/>
        </w:rPr>
        <w:t xml:space="preserve"> </w:t>
      </w:r>
      <w:r w:rsidRPr="1809C9FA">
        <w:rPr>
          <w:rFonts w:eastAsiaTheme="minorEastAsia"/>
          <w:lang w:val="en-US"/>
        </w:rPr>
        <w:t>third of the default risk associated with a $320 million New South Wales (NSW) Government loan to the Asbestos Injuries Compensation Fund (AICF), contingent on all states and territories agreeing to assume the remaining default risk. States and territories agreed to assume the remaining default risk in the period following the publication of the 2016–17 Budget.</w:t>
      </w:r>
    </w:p>
    <w:p w14:paraId="571F72EA" w14:textId="35BFAF4E" w:rsidR="002873A5" w:rsidRPr="00AB0BAC" w:rsidRDefault="002873A5" w:rsidP="0063017F">
      <w:pPr>
        <w:rPr>
          <w:rFonts w:eastAsiaTheme="minorEastAsia"/>
          <w:lang w:val="en-US"/>
        </w:rPr>
      </w:pPr>
      <w:r w:rsidRPr="1809C9FA">
        <w:rPr>
          <w:rFonts w:eastAsiaTheme="minorEastAsia"/>
          <w:lang w:val="en-US"/>
        </w:rPr>
        <w:t>The AICF provides compensation to Australian asbestos disease related claims against former subsidiaries of the James Hardie Group and is funded on an ongoing basis through contributions from the James Hardie Group. NSW provided a $320</w:t>
      </w:r>
      <w:r w:rsidR="0023629A">
        <w:rPr>
          <w:rFonts w:eastAsiaTheme="minorEastAsia"/>
          <w:lang w:val="en-US"/>
        </w:rPr>
        <w:t> </w:t>
      </w:r>
      <w:r w:rsidRPr="1809C9FA">
        <w:rPr>
          <w:rFonts w:eastAsiaTheme="minorEastAsia"/>
          <w:lang w:val="en-US"/>
        </w:rPr>
        <w:t>million loan facility in 2010 to enable AICF to continue to pay compensation as lump sums, rather than on an instalment basis.</w:t>
      </w:r>
    </w:p>
    <w:bookmarkEnd w:id="192"/>
    <w:p w14:paraId="6C8855F8" w14:textId="77777777" w:rsidR="002873A5" w:rsidRPr="006F0D8E" w:rsidRDefault="002873A5" w:rsidP="001078E4">
      <w:pPr>
        <w:pStyle w:val="Heading4"/>
      </w:pPr>
      <w:r w:rsidRPr="006F0D8E">
        <w:t>Financial Claims Scheme</w:t>
      </w:r>
    </w:p>
    <w:p w14:paraId="4556F890" w14:textId="71D70147" w:rsidR="002873A5" w:rsidRPr="00AB0BAC" w:rsidRDefault="002873A5" w:rsidP="0063017F">
      <w:pPr>
        <w:rPr>
          <w:rFonts w:eastAsiaTheme="minorEastAsia"/>
          <w:lang w:val="en-US"/>
        </w:rPr>
      </w:pPr>
      <w:r w:rsidRPr="1809C9FA">
        <w:rPr>
          <w:rFonts w:eastAsiaTheme="minorEastAsia"/>
          <w:lang w:val="en-US"/>
        </w:rPr>
        <w:t>The Financial Claims Scheme provides depositors of authorised deposit</w:t>
      </w:r>
      <w:r w:rsidR="00D737F9">
        <w:rPr>
          <w:rFonts w:eastAsiaTheme="minorEastAsia"/>
          <w:lang w:val="en-US"/>
        </w:rPr>
        <w:noBreakHyphen/>
      </w:r>
      <w:r w:rsidRPr="1809C9FA">
        <w:rPr>
          <w:rFonts w:eastAsiaTheme="minorEastAsia"/>
          <w:lang w:val="en-US"/>
        </w:rPr>
        <w:t xml:space="preserve">taking institutions (ADIs) and claimants against general insurers with timely access to their funds in the event of a financial institution failure. </w:t>
      </w:r>
    </w:p>
    <w:p w14:paraId="348A94B0" w14:textId="0F62A892" w:rsidR="002873A5" w:rsidRPr="0044605C" w:rsidRDefault="002873A5" w:rsidP="0063017F">
      <w:pPr>
        <w:rPr>
          <w:rFonts w:eastAsiaTheme="minorEastAsia"/>
          <w:lang w:val="en-US"/>
        </w:rPr>
      </w:pPr>
      <w:r w:rsidRPr="1809C9FA">
        <w:rPr>
          <w:rFonts w:eastAsiaTheme="minorEastAsia"/>
          <w:lang w:val="en-US"/>
        </w:rPr>
        <w:t xml:space="preserve">Under the </w:t>
      </w:r>
      <w:r w:rsidRPr="1809C9FA">
        <w:rPr>
          <w:rFonts w:eastAsiaTheme="minorEastAsia"/>
          <w:i/>
          <w:lang w:val="en-US"/>
        </w:rPr>
        <w:t>Banking Act 1959</w:t>
      </w:r>
      <w:r w:rsidRPr="1809C9FA">
        <w:rPr>
          <w:rFonts w:eastAsiaTheme="minorEastAsia"/>
          <w:lang w:val="en-US"/>
        </w:rPr>
        <w:t>, the Financial Claims Scheme</w:t>
      </w:r>
      <w:r w:rsidRPr="1809C9FA" w:rsidDel="00215DB1">
        <w:rPr>
          <w:rFonts w:eastAsiaTheme="minorEastAsia"/>
          <w:lang w:val="en-US"/>
        </w:rPr>
        <w:t xml:space="preserve"> </w:t>
      </w:r>
      <w:r w:rsidRPr="1809C9FA">
        <w:rPr>
          <w:rFonts w:eastAsiaTheme="minorEastAsia"/>
          <w:lang w:val="en-US"/>
        </w:rPr>
        <w:t>provides a mechanism for making payments to depositors under the Australian Government</w:t>
      </w:r>
      <w:r w:rsidR="00D737F9">
        <w:rPr>
          <w:rFonts w:eastAsiaTheme="minorEastAsia"/>
          <w:lang w:val="en-US"/>
        </w:rPr>
        <w:t>’</w:t>
      </w:r>
      <w:r w:rsidRPr="1809C9FA">
        <w:rPr>
          <w:rFonts w:eastAsiaTheme="minorEastAsia"/>
          <w:lang w:val="en-US"/>
        </w:rPr>
        <w:t>s guarantee of deposits in ADIs. Payments are capped at $250,000 per account holder per ADI. The total value of deposits eligible for coverage under the Financial Claims Scheme was estimated at $1.3</w:t>
      </w:r>
      <w:r>
        <w:rPr>
          <w:rFonts w:eastAsiaTheme="minorEastAsia"/>
          <w:lang w:val="en-US"/>
        </w:rPr>
        <w:t> </w:t>
      </w:r>
      <w:r w:rsidRPr="1809C9FA">
        <w:rPr>
          <w:rFonts w:eastAsiaTheme="minorEastAsia"/>
          <w:lang w:val="en-US"/>
        </w:rPr>
        <w:t>trillion as at 3</w:t>
      </w:r>
      <w:r>
        <w:rPr>
          <w:rFonts w:eastAsiaTheme="minorEastAsia"/>
          <w:lang w:val="en-US"/>
        </w:rPr>
        <w:t>1</w:t>
      </w:r>
      <w:r w:rsidR="00D9795C">
        <w:rPr>
          <w:rFonts w:eastAsiaTheme="minorEastAsia"/>
          <w:lang w:val="en-US"/>
        </w:rPr>
        <w:t> December </w:t>
      </w:r>
      <w:r w:rsidRPr="1809C9FA">
        <w:rPr>
          <w:rFonts w:eastAsiaTheme="minorEastAsia"/>
          <w:lang w:val="en-US"/>
        </w:rPr>
        <w:t xml:space="preserve">2023. </w:t>
      </w:r>
    </w:p>
    <w:p w14:paraId="4376FEC0" w14:textId="77777777" w:rsidR="002873A5" w:rsidRPr="0044605C" w:rsidRDefault="002873A5" w:rsidP="0063017F">
      <w:pPr>
        <w:rPr>
          <w:rFonts w:eastAsiaTheme="minorEastAsia"/>
          <w:lang w:val="en-US"/>
        </w:rPr>
      </w:pPr>
      <w:r w:rsidRPr="1809C9FA">
        <w:rPr>
          <w:rFonts w:eastAsiaTheme="minorEastAsia"/>
          <w:lang w:val="en-US"/>
        </w:rPr>
        <w:t>Under the</w:t>
      </w:r>
      <w:r w:rsidRPr="1809C9FA">
        <w:rPr>
          <w:rFonts w:eastAsiaTheme="minorEastAsia"/>
          <w:i/>
          <w:lang w:val="en-US"/>
        </w:rPr>
        <w:t xml:space="preserve"> Insurance</w:t>
      </w:r>
      <w:r w:rsidRPr="1809C9FA">
        <w:rPr>
          <w:rFonts w:eastAsiaTheme="minorEastAsia"/>
          <w:i/>
          <w:iCs/>
          <w:lang w:val="en-US"/>
        </w:rPr>
        <w:t xml:space="preserve"> </w:t>
      </w:r>
      <w:r w:rsidRPr="1809C9FA">
        <w:rPr>
          <w:rFonts w:eastAsiaTheme="minorEastAsia"/>
          <w:i/>
          <w:lang w:val="en-US"/>
        </w:rPr>
        <w:t>Act</w:t>
      </w:r>
      <w:r w:rsidRPr="1809C9FA">
        <w:rPr>
          <w:rFonts w:eastAsiaTheme="minorEastAsia"/>
          <w:i/>
          <w:iCs/>
          <w:lang w:val="en-US"/>
        </w:rPr>
        <w:t xml:space="preserve"> </w:t>
      </w:r>
      <w:r w:rsidRPr="1809C9FA">
        <w:rPr>
          <w:rFonts w:eastAsiaTheme="minorEastAsia"/>
          <w:i/>
          <w:lang w:val="en-US"/>
        </w:rPr>
        <w:t>1973</w:t>
      </w:r>
      <w:r w:rsidRPr="1809C9FA">
        <w:rPr>
          <w:rFonts w:eastAsiaTheme="minorEastAsia"/>
          <w:lang w:val="en-US"/>
        </w:rPr>
        <w:t xml:space="preserve">, the Financial Claims Scheme provides a mechanism for making payments to eligible beneficiaries with a valid claim against a failed general insurer. It is not possible to estimate the amounts of any eventual payments that may be required in relation to general insurance claims. </w:t>
      </w:r>
    </w:p>
    <w:p w14:paraId="4717EB49" w14:textId="77777777" w:rsidR="002873A5" w:rsidRPr="0044605C" w:rsidRDefault="002873A5" w:rsidP="0063017F">
      <w:pPr>
        <w:rPr>
          <w:rFonts w:eastAsiaTheme="minorEastAsia"/>
          <w:lang w:val="en-US"/>
        </w:rPr>
      </w:pPr>
      <w:r w:rsidRPr="1809C9FA">
        <w:rPr>
          <w:rFonts w:eastAsiaTheme="minorEastAsia"/>
          <w:lang w:val="en-US"/>
        </w:rPr>
        <w:t xml:space="preserve">In the very unlikely event of an ADI or general insurer failure, any payments made under the Financial Claims Scheme would be recovered through the liquidation of the failed institution. If there was a shortfall in the amount recovered through the liquidation of the failed institution, a levy could be applied to the relevant industry to recover the difference between the amount expended and the amount recovered in the liquidation. </w:t>
      </w:r>
    </w:p>
    <w:p w14:paraId="7BAA19B2" w14:textId="5CAD3409" w:rsidR="002873A5" w:rsidRDefault="002873A5" w:rsidP="0063017F">
      <w:pPr>
        <w:rPr>
          <w:rFonts w:eastAsiaTheme="minorEastAsia"/>
          <w:lang w:val="en-US"/>
        </w:rPr>
      </w:pPr>
      <w:r w:rsidRPr="1809C9FA">
        <w:rPr>
          <w:rFonts w:eastAsiaTheme="minorEastAsia"/>
          <w:lang w:val="en-US"/>
        </w:rPr>
        <w:t>The Australian Prudential Regulation Authority (APRA) is responsible for the administration of the Financial Claims Scheme. Under the Financial Claims Scheme, any payments to account holders with eligible protected accounts or eligible claimants would be made from APRA</w:t>
      </w:r>
      <w:r w:rsidR="00D737F9">
        <w:rPr>
          <w:rFonts w:eastAsiaTheme="minorEastAsia"/>
          <w:lang w:val="en-US"/>
        </w:rPr>
        <w:t>’</w:t>
      </w:r>
      <w:r w:rsidRPr="1809C9FA">
        <w:rPr>
          <w:rFonts w:eastAsiaTheme="minorEastAsia"/>
          <w:lang w:val="en-US"/>
        </w:rPr>
        <w:t>s Financial Claims Scheme Special Account. Under the legislation, upon declaration by the Minister in relation to a specified ADI, up to $20</w:t>
      </w:r>
      <w:r w:rsidR="0023629A">
        <w:rPr>
          <w:rFonts w:eastAsiaTheme="minorEastAsia"/>
          <w:lang w:val="en-US"/>
        </w:rPr>
        <w:t> billion</w:t>
      </w:r>
      <w:r w:rsidRPr="1809C9FA">
        <w:rPr>
          <w:rFonts w:eastAsiaTheme="minorEastAsia"/>
          <w:lang w:val="en-US"/>
        </w:rPr>
        <w:t xml:space="preserve"> per institution would be available to meet Financial Claims Scheme payments and up to $100</w:t>
      </w:r>
      <w:r>
        <w:rPr>
          <w:rFonts w:eastAsiaTheme="minorEastAsia"/>
          <w:lang w:val="en-US"/>
        </w:rPr>
        <w:t> </w:t>
      </w:r>
      <w:r w:rsidRPr="1809C9FA">
        <w:rPr>
          <w:rFonts w:eastAsiaTheme="minorEastAsia"/>
          <w:lang w:val="en-US"/>
        </w:rPr>
        <w:t>million per institution for administration costs.</w:t>
      </w:r>
    </w:p>
    <w:p w14:paraId="47A8BB1F" w14:textId="5C02D855" w:rsidR="002873A5" w:rsidRDefault="002873A5" w:rsidP="001078E4">
      <w:pPr>
        <w:pStyle w:val="Heading4"/>
      </w:pPr>
      <w:bookmarkStart w:id="194" w:name="_Toc71117884"/>
      <w:bookmarkStart w:id="195" w:name="_Toc71117885"/>
      <w:bookmarkEnd w:id="193"/>
      <w:r w:rsidRPr="00BD728C">
        <w:lastRenderedPageBreak/>
        <w:t>Guarantee</w:t>
      </w:r>
      <w:r w:rsidRPr="00AD0F90">
        <w:t xml:space="preserve"> for Housing Australia</w:t>
      </w:r>
    </w:p>
    <w:p w14:paraId="2F1F7F09" w14:textId="77777777" w:rsidR="002873A5" w:rsidRPr="0044605C" w:rsidRDefault="002873A5" w:rsidP="0063017F">
      <w:pPr>
        <w:rPr>
          <w:rFonts w:eastAsiaTheme="minorEastAsia"/>
          <w:sz w:val="24"/>
          <w:szCs w:val="24"/>
          <w:lang w:val="en-US"/>
        </w:rPr>
      </w:pPr>
      <w:r w:rsidRPr="1809C9FA">
        <w:rPr>
          <w:rFonts w:eastAsiaTheme="minorEastAsia"/>
          <w:lang w:val="en-US"/>
        </w:rPr>
        <w:t>The Australian Government guarantees the due payment of money payable by Housing Australia to anyone other than the Government.</w:t>
      </w:r>
    </w:p>
    <w:p w14:paraId="66594FE3" w14:textId="7C5B05C0" w:rsidR="002873A5" w:rsidRPr="0044605C" w:rsidRDefault="002873A5" w:rsidP="0063017F">
      <w:pPr>
        <w:rPr>
          <w:rFonts w:eastAsiaTheme="minorEastAsia"/>
          <w:lang w:val="en-US"/>
        </w:rPr>
      </w:pPr>
      <w:r w:rsidRPr="1809C9FA">
        <w:rPr>
          <w:rFonts w:eastAsiaTheme="minorEastAsia"/>
          <w:lang w:val="en-US"/>
        </w:rPr>
        <w:t>The Housing Australia Board must not allow Housing Australia to enter into a transaction that would result in its total guaranteed liabilities, and any outstanding amount borrowed from the Government, to exceed $7.5</w:t>
      </w:r>
      <w:r w:rsidR="0023629A">
        <w:rPr>
          <w:rFonts w:eastAsiaTheme="minorEastAsia"/>
          <w:lang w:val="en-US"/>
        </w:rPr>
        <w:t> billion</w:t>
      </w:r>
      <w:r w:rsidRPr="1809C9FA">
        <w:rPr>
          <w:rFonts w:eastAsiaTheme="minorEastAsia"/>
          <w:lang w:val="en-US"/>
        </w:rPr>
        <w:t>, unless approved by the Government.</w:t>
      </w:r>
      <w:r w:rsidRPr="00622948">
        <w:t xml:space="preserve"> </w:t>
      </w:r>
      <w:r w:rsidRPr="00BA2642">
        <w:t>As part of the 2024</w:t>
      </w:r>
      <w:r w:rsidR="00CB05B6">
        <w:t>–</w:t>
      </w:r>
      <w:r w:rsidRPr="00BA2642">
        <w:t>25 Budget, the Government announced the cap on the Government guarantee of Housing Australia</w:t>
      </w:r>
      <w:r w:rsidR="00D737F9">
        <w:t>’</w:t>
      </w:r>
      <w:r w:rsidRPr="00BA2642">
        <w:t>s liabilities will increase from $7.5</w:t>
      </w:r>
      <w:r w:rsidR="0023629A">
        <w:t> billion</w:t>
      </w:r>
      <w:r w:rsidRPr="00BA2642">
        <w:t xml:space="preserve"> to a total of $10</w:t>
      </w:r>
      <w:r w:rsidR="0023629A">
        <w:t> billion</w:t>
      </w:r>
      <w:r w:rsidRPr="00BA2642">
        <w:t xml:space="preserve"> on 1</w:t>
      </w:r>
      <w:r w:rsidR="00D9795C">
        <w:t> July </w:t>
      </w:r>
      <w:r w:rsidRPr="00BA2642">
        <w:t>2024.</w:t>
      </w:r>
    </w:p>
    <w:bookmarkEnd w:id="194"/>
    <w:bookmarkEnd w:id="195"/>
    <w:p w14:paraId="0B5AAC95" w14:textId="77777777" w:rsidR="002873A5" w:rsidRPr="006F0D8E" w:rsidRDefault="002873A5" w:rsidP="001078E4">
      <w:pPr>
        <w:pStyle w:val="Heading4"/>
      </w:pPr>
      <w:r w:rsidRPr="006F0D8E">
        <w:t xml:space="preserve">Guarantees under the </w:t>
      </w:r>
      <w:r w:rsidRPr="00DC52DB">
        <w:rPr>
          <w:i/>
          <w:iCs/>
        </w:rPr>
        <w:t>Commonwealth Bank Sale Act</w:t>
      </w:r>
      <w:r>
        <w:rPr>
          <w:i/>
          <w:iCs/>
        </w:rPr>
        <w:t> </w:t>
      </w:r>
      <w:r w:rsidRPr="00DC52DB">
        <w:rPr>
          <w:i/>
          <w:iCs/>
        </w:rPr>
        <w:t>1995</w:t>
      </w:r>
    </w:p>
    <w:p w14:paraId="309B7FEF" w14:textId="3E9E568F" w:rsidR="002873A5" w:rsidRPr="0063017F" w:rsidRDefault="002873A5" w:rsidP="0063017F">
      <w:pPr>
        <w:rPr>
          <w:rFonts w:eastAsiaTheme="minorEastAsia"/>
        </w:rPr>
      </w:pPr>
      <w:bookmarkStart w:id="196" w:name="_Toc99141898"/>
      <w:r w:rsidRPr="1809C9FA">
        <w:rPr>
          <w:rFonts w:eastAsiaTheme="minorEastAsia"/>
          <w:lang w:val="en-US"/>
        </w:rPr>
        <w:t xml:space="preserve">Under the terms of the </w:t>
      </w:r>
      <w:r w:rsidRPr="1809C9FA">
        <w:rPr>
          <w:rFonts w:eastAsiaTheme="minorEastAsia"/>
          <w:i/>
          <w:iCs/>
          <w:lang w:val="en-US"/>
        </w:rPr>
        <w:t xml:space="preserve">Commonwealth Bank Sale Act </w:t>
      </w:r>
      <w:r w:rsidRPr="001C014C">
        <w:rPr>
          <w:rFonts w:eastAsiaTheme="minorEastAsia"/>
          <w:i/>
          <w:iCs/>
          <w:lang w:val="en-US"/>
        </w:rPr>
        <w:t>1995</w:t>
      </w:r>
      <w:r w:rsidRPr="1809C9FA">
        <w:rPr>
          <w:rFonts w:eastAsiaTheme="minorEastAsia"/>
          <w:lang w:val="en-US"/>
        </w:rPr>
        <w:t xml:space="preserve">, the </w:t>
      </w:r>
      <w:r w:rsidR="001F3211">
        <w:rPr>
          <w:rFonts w:eastAsiaTheme="minorEastAsia"/>
          <w:lang w:val="en-US"/>
        </w:rPr>
        <w:t>Australian Government</w:t>
      </w:r>
      <w:r w:rsidRPr="1809C9FA">
        <w:rPr>
          <w:rFonts w:eastAsiaTheme="minorEastAsia"/>
          <w:lang w:val="en-US"/>
        </w:rPr>
        <w:t xml:space="preserve"> guarantees various superannuation and other liabilities of the Commonwealth Bank.</w:t>
      </w:r>
      <w:r w:rsidRPr="009B3641">
        <w:rPr>
          <w:color w:val="FF0000"/>
        </w:rPr>
        <w:t xml:space="preserve"> </w:t>
      </w:r>
      <w:r w:rsidRPr="007F613A">
        <w:t>As at 31</w:t>
      </w:r>
      <w:r w:rsidR="00D9795C">
        <w:t> December </w:t>
      </w:r>
      <w:r w:rsidRPr="007F613A">
        <w:t>2023, the</w:t>
      </w:r>
      <w:r w:rsidRPr="0063017F">
        <w:t xml:space="preserve"> Commonwealth Bank of Australia holds no attributed liabilities,</w:t>
      </w:r>
      <w:r w:rsidRPr="0063017F">
        <w:rPr>
          <w:rFonts w:eastAsiaTheme="minorEastAsia"/>
        </w:rPr>
        <w:t xml:space="preserve"> and $4.27</w:t>
      </w:r>
      <w:r w:rsidR="0023629A" w:rsidRPr="0063017F">
        <w:rPr>
          <w:rFonts w:eastAsiaTheme="minorEastAsia"/>
        </w:rPr>
        <w:t> billion</w:t>
      </w:r>
      <w:r w:rsidRPr="0063017F">
        <w:rPr>
          <w:rFonts w:eastAsiaTheme="minorEastAsia"/>
        </w:rPr>
        <w:t xml:space="preserve"> is attributable to liabilities of the Commonwealth Bank Officers</w:t>
      </w:r>
      <w:r w:rsidR="00D737F9">
        <w:rPr>
          <w:rFonts w:eastAsiaTheme="minorEastAsia"/>
        </w:rPr>
        <w:t>’</w:t>
      </w:r>
      <w:r w:rsidRPr="0063017F">
        <w:rPr>
          <w:rFonts w:eastAsiaTheme="minorEastAsia"/>
        </w:rPr>
        <w:t xml:space="preserve"> Superannuation Corporation.</w:t>
      </w:r>
    </w:p>
    <w:p w14:paraId="5887C951" w14:textId="77777777" w:rsidR="002873A5" w:rsidRDefault="002873A5" w:rsidP="001078E4">
      <w:pPr>
        <w:pStyle w:val="Heading4"/>
      </w:pPr>
      <w:r w:rsidRPr="00C531BE">
        <w:t xml:space="preserve">Reserve Bank of Australia </w:t>
      </w:r>
      <w:r w:rsidRPr="00C531BE">
        <w:rPr>
          <w:rFonts w:eastAsia="Calibri"/>
        </w:rPr>
        <w:t>–</w:t>
      </w:r>
      <w:r w:rsidRPr="00C531BE">
        <w:t xml:space="preserve"> Guarantee</w:t>
      </w:r>
    </w:p>
    <w:p w14:paraId="6C430BEE" w14:textId="672F9927" w:rsidR="002873A5" w:rsidRPr="0063017F" w:rsidRDefault="002873A5" w:rsidP="0063017F">
      <w:pPr>
        <w:rPr>
          <w:rFonts w:eastAsiaTheme="minorEastAsia"/>
        </w:rPr>
      </w:pPr>
      <w:r w:rsidRPr="1809C9FA">
        <w:rPr>
          <w:rFonts w:eastAsiaTheme="minorEastAsia"/>
          <w:lang w:val="en-US"/>
        </w:rPr>
        <w:t>The Australian Government guarantees the liabilities of the Reserve Bank of Australia, measured as the Bank</w:t>
      </w:r>
      <w:r w:rsidR="00D737F9">
        <w:rPr>
          <w:rFonts w:eastAsiaTheme="minorEastAsia"/>
          <w:lang w:val="en-US"/>
        </w:rPr>
        <w:t>’</w:t>
      </w:r>
      <w:r w:rsidRPr="1809C9FA">
        <w:rPr>
          <w:rFonts w:eastAsiaTheme="minorEastAsia"/>
          <w:lang w:val="en-US"/>
        </w:rPr>
        <w:t xml:space="preserve">s total liabilities excluding capital, reserves, and </w:t>
      </w:r>
      <w:r w:rsidR="001F3211">
        <w:rPr>
          <w:rFonts w:eastAsiaTheme="minorEastAsia"/>
          <w:lang w:val="en-US"/>
        </w:rPr>
        <w:t>Australian Government</w:t>
      </w:r>
      <w:r w:rsidRPr="1809C9FA">
        <w:rPr>
          <w:rFonts w:eastAsiaTheme="minorEastAsia"/>
          <w:lang w:val="en-US"/>
        </w:rPr>
        <w:t xml:space="preserve"> deposits. The principal component of the Bank</w:t>
      </w:r>
      <w:r w:rsidR="00D737F9">
        <w:rPr>
          <w:rFonts w:eastAsiaTheme="minorEastAsia"/>
          <w:lang w:val="en-US"/>
        </w:rPr>
        <w:t>’</w:t>
      </w:r>
      <w:r w:rsidRPr="1809C9FA">
        <w:rPr>
          <w:rFonts w:eastAsiaTheme="minorEastAsia"/>
          <w:lang w:val="en-US"/>
        </w:rPr>
        <w:t xml:space="preserve">s liabilities </w:t>
      </w:r>
      <w:r>
        <w:rPr>
          <w:rFonts w:eastAsiaTheme="minorEastAsia"/>
          <w:lang w:val="en-US"/>
        </w:rPr>
        <w:t>consists of</w:t>
      </w:r>
      <w:r w:rsidRPr="1809C9FA">
        <w:rPr>
          <w:rFonts w:eastAsiaTheme="minorEastAsia"/>
          <w:lang w:val="en-US"/>
        </w:rPr>
        <w:t xml:space="preserve"> exchange settlement balances. As at </w:t>
      </w:r>
      <w:r>
        <w:rPr>
          <w:rFonts w:eastAsiaTheme="minorEastAsia"/>
          <w:lang w:val="en-US"/>
        </w:rPr>
        <w:t>29</w:t>
      </w:r>
      <w:r w:rsidR="00D9795C">
        <w:rPr>
          <w:rFonts w:eastAsiaTheme="minorEastAsia"/>
          <w:lang w:val="en-US"/>
        </w:rPr>
        <w:t> February </w:t>
      </w:r>
      <w:r>
        <w:rPr>
          <w:rFonts w:eastAsiaTheme="minorEastAsia"/>
          <w:lang w:val="en-US"/>
        </w:rPr>
        <w:t>2024</w:t>
      </w:r>
      <w:r w:rsidRPr="1809C9FA">
        <w:rPr>
          <w:rFonts w:eastAsiaTheme="minorEastAsia"/>
          <w:lang w:val="en-US"/>
        </w:rPr>
        <w:t>, exchange settlement balances amount to $</w:t>
      </w:r>
      <w:r>
        <w:rPr>
          <w:rFonts w:eastAsiaTheme="minorEastAsia"/>
          <w:lang w:val="en-US"/>
        </w:rPr>
        <w:t>335.4</w:t>
      </w:r>
      <w:r w:rsidR="0023629A">
        <w:rPr>
          <w:rFonts w:eastAsiaTheme="minorEastAsia"/>
          <w:lang w:val="en-US"/>
        </w:rPr>
        <w:t> billion</w:t>
      </w:r>
      <w:r w:rsidRPr="1809C9FA">
        <w:rPr>
          <w:rFonts w:eastAsiaTheme="minorEastAsia"/>
          <w:lang w:val="en-US"/>
        </w:rPr>
        <w:t>, and the total guarantee is $</w:t>
      </w:r>
      <w:r>
        <w:rPr>
          <w:rFonts w:eastAsiaTheme="minorEastAsia"/>
          <w:lang w:val="en-US"/>
        </w:rPr>
        <w:t>453.3</w:t>
      </w:r>
      <w:r w:rsidR="0023629A">
        <w:rPr>
          <w:rFonts w:eastAsiaTheme="minorEastAsia"/>
          <w:lang w:val="en-US"/>
        </w:rPr>
        <w:t> billion</w:t>
      </w:r>
      <w:r w:rsidRPr="1809C9FA">
        <w:rPr>
          <w:rFonts w:eastAsiaTheme="minorEastAsia"/>
          <w:lang w:val="en-US"/>
        </w:rPr>
        <w:t>.</w:t>
      </w:r>
    </w:p>
    <w:p w14:paraId="632D8BB1" w14:textId="77777777" w:rsidR="002873A5" w:rsidRPr="00B832E0" w:rsidRDefault="002873A5" w:rsidP="001078E4">
      <w:pPr>
        <w:pStyle w:val="Heading3"/>
        <w:rPr>
          <w:rFonts w:eastAsia="Arial"/>
        </w:rPr>
      </w:pPr>
      <w:bookmarkStart w:id="197" w:name="_Toc166165535"/>
      <w:r w:rsidRPr="00B832E0">
        <w:rPr>
          <w:rFonts w:eastAsia="Arial"/>
        </w:rPr>
        <w:t>Contingent liabilities – unquantifiable</w:t>
      </w:r>
      <w:bookmarkEnd w:id="196"/>
      <w:bookmarkEnd w:id="197"/>
    </w:p>
    <w:p w14:paraId="6554E43C" w14:textId="7432135C" w:rsidR="002873A5" w:rsidRPr="00AB0BAC" w:rsidRDefault="002873A5" w:rsidP="006A5668">
      <w:pPr>
        <w:pStyle w:val="Heading4"/>
        <w:rPr>
          <w:rFonts w:eastAsia="Arial Bold"/>
          <w:lang w:val="en-US"/>
        </w:rPr>
      </w:pPr>
      <w:bookmarkStart w:id="198" w:name="_Toc71117879"/>
      <w:r w:rsidRPr="1809C9FA">
        <w:rPr>
          <w:rFonts w:eastAsia="Arial Bold"/>
          <w:lang w:val="en-US"/>
        </w:rPr>
        <w:t>Compensation scheme of last resort</w:t>
      </w:r>
    </w:p>
    <w:p w14:paraId="04C4B0F6" w14:textId="77777777" w:rsidR="002873A5" w:rsidRPr="00977E81" w:rsidRDefault="002873A5" w:rsidP="0063017F">
      <w:pPr>
        <w:rPr>
          <w:rFonts w:eastAsiaTheme="minorEastAsia"/>
          <w:lang w:val="en-US"/>
        </w:rPr>
      </w:pPr>
      <w:r w:rsidRPr="1809C9FA">
        <w:rPr>
          <w:rFonts w:eastAsiaTheme="minorEastAsia"/>
          <w:lang w:val="en-US"/>
        </w:rPr>
        <w:t xml:space="preserve">The compensation scheme of last resort (CSLR) will facilitate the payment of compensation to consumers who have an eligible determination from the Australian Financial Complaints Authority which remains unpaid, primarily due to the insolvency of the relevant financial service provider. </w:t>
      </w:r>
    </w:p>
    <w:p w14:paraId="08C574B5" w14:textId="4053D73A" w:rsidR="002873A5" w:rsidRPr="00977E81" w:rsidRDefault="002873A5" w:rsidP="0063017F">
      <w:pPr>
        <w:rPr>
          <w:rFonts w:eastAsiaTheme="minorEastAsia"/>
          <w:lang w:val="en-US"/>
        </w:rPr>
      </w:pPr>
      <w:r w:rsidRPr="1809C9FA">
        <w:rPr>
          <w:rFonts w:eastAsiaTheme="minorEastAsia"/>
          <w:lang w:val="en-US"/>
        </w:rPr>
        <w:t>Legislation to establish the CSLR was passed on 22</w:t>
      </w:r>
      <w:r w:rsidR="0023629A">
        <w:rPr>
          <w:rFonts w:eastAsiaTheme="minorEastAsia"/>
          <w:lang w:val="en-US"/>
        </w:rPr>
        <w:t> June </w:t>
      </w:r>
      <w:r w:rsidRPr="1809C9FA">
        <w:rPr>
          <w:rFonts w:eastAsiaTheme="minorEastAsia"/>
          <w:lang w:val="en-US"/>
        </w:rPr>
        <w:t>2023. The CSLR will be funded by the Government in the first levy period, which ends 30</w:t>
      </w:r>
      <w:r w:rsidR="0023629A">
        <w:rPr>
          <w:rFonts w:eastAsiaTheme="minorEastAsia"/>
          <w:lang w:val="en-US"/>
        </w:rPr>
        <w:t> June </w:t>
      </w:r>
      <w:r w:rsidRPr="1809C9FA">
        <w:rPr>
          <w:rFonts w:eastAsiaTheme="minorEastAsia"/>
          <w:lang w:val="en-US"/>
        </w:rPr>
        <w:t>2024. Thereafter, liabilities under the CSLR will transfer to the financial services sector and will be funded by levies on the sector.</w:t>
      </w:r>
    </w:p>
    <w:p w14:paraId="1A1B0518" w14:textId="08A5F1BC" w:rsidR="002873A5" w:rsidRPr="00292344" w:rsidRDefault="002873A5" w:rsidP="0063017F">
      <w:pPr>
        <w:rPr>
          <w:rFonts w:eastAsiaTheme="minorEastAsia"/>
          <w:sz w:val="24"/>
          <w:szCs w:val="24"/>
          <w:highlight w:val="lightGray"/>
          <w:lang w:val="en-US"/>
        </w:rPr>
      </w:pPr>
      <w:r w:rsidRPr="1809C9FA">
        <w:rPr>
          <w:rFonts w:eastAsiaTheme="minorEastAsia"/>
          <w:lang w:val="en-US"/>
        </w:rPr>
        <w:t>The value of the Australian Government</w:t>
      </w:r>
      <w:r w:rsidR="00D737F9">
        <w:rPr>
          <w:rFonts w:eastAsiaTheme="minorEastAsia"/>
          <w:lang w:val="en-US"/>
        </w:rPr>
        <w:t>’</w:t>
      </w:r>
      <w:r w:rsidRPr="1809C9FA">
        <w:rPr>
          <w:rFonts w:eastAsiaTheme="minorEastAsia"/>
          <w:lang w:val="en-US"/>
        </w:rPr>
        <w:t>s liabilities under the CSLR is unquantifiable. The collapse of Dixon Advisory and Superannuation Services Pty Ltd substantially increased the backlog of potential eligible claims.</w:t>
      </w:r>
    </w:p>
    <w:p w14:paraId="199F2C2F" w14:textId="77777777" w:rsidR="002873A5" w:rsidRPr="00B832E0" w:rsidRDefault="002873A5" w:rsidP="001078E4">
      <w:pPr>
        <w:pStyle w:val="Heading4"/>
        <w:rPr>
          <w:rFonts w:eastAsia="Arial"/>
        </w:rPr>
      </w:pPr>
      <w:r w:rsidRPr="00B832E0">
        <w:rPr>
          <w:rFonts w:eastAsia="Arial"/>
        </w:rPr>
        <w:lastRenderedPageBreak/>
        <w:t>Establishment of a cyclone and related flooding reinsurance pool</w:t>
      </w:r>
      <w:bookmarkEnd w:id="198"/>
    </w:p>
    <w:p w14:paraId="0A6EBEF9" w14:textId="7650D5A3" w:rsidR="002873A5" w:rsidRPr="007050DA" w:rsidRDefault="002873A5" w:rsidP="0063017F">
      <w:pPr>
        <w:rPr>
          <w:rFonts w:eastAsiaTheme="minorEastAsia"/>
          <w:lang w:val="en-US"/>
        </w:rPr>
      </w:pPr>
      <w:r w:rsidRPr="1809C9FA">
        <w:rPr>
          <w:rFonts w:eastAsiaTheme="minorEastAsia"/>
          <w:lang w:val="en-US"/>
        </w:rPr>
        <w:t>The Government provides an annually reinstated Government guarantee to the Australian Reinsurance Pool Corporation (ARPC) of $10</w:t>
      </w:r>
      <w:r w:rsidR="0023629A">
        <w:rPr>
          <w:rFonts w:eastAsiaTheme="minorEastAsia"/>
          <w:lang w:val="en-US"/>
        </w:rPr>
        <w:t> billion</w:t>
      </w:r>
      <w:r w:rsidRPr="1809C9FA">
        <w:rPr>
          <w:rFonts w:eastAsiaTheme="minorEastAsia"/>
          <w:lang w:val="en-US"/>
        </w:rPr>
        <w:t>, or a larger amount if required, to support a reinsurance pool for the impact of cyclones and related flooding on eligible insured properties. The guarantee took effect from 1</w:t>
      </w:r>
      <w:r w:rsidR="00D9795C">
        <w:rPr>
          <w:rFonts w:eastAsiaTheme="minorEastAsia" w:hint="cs"/>
          <w:lang w:val="en-US"/>
        </w:rPr>
        <w:t> July </w:t>
      </w:r>
      <w:r w:rsidRPr="1809C9FA">
        <w:rPr>
          <w:rFonts w:eastAsiaTheme="minorEastAsia"/>
          <w:lang w:val="en-US"/>
        </w:rPr>
        <w:t>2022, following the passage of legislation in</w:t>
      </w:r>
      <w:r w:rsidR="00D9795C">
        <w:rPr>
          <w:rFonts w:eastAsiaTheme="minorEastAsia"/>
          <w:lang w:val="en-US"/>
        </w:rPr>
        <w:t> March </w:t>
      </w:r>
      <w:r w:rsidRPr="1809C9FA">
        <w:rPr>
          <w:rFonts w:eastAsiaTheme="minorEastAsia"/>
          <w:lang w:val="en-US"/>
        </w:rPr>
        <w:t>2022, and may be called upon in the event of a large cyclone and related flooding, or in a year with a high number of cyclones and related flooding, to ensure the ARPC can pay any and all liabilities.</w:t>
      </w:r>
    </w:p>
    <w:p w14:paraId="55A11D43" w14:textId="7E2EEA45" w:rsidR="002873A5" w:rsidRPr="007050DA" w:rsidRDefault="002873A5" w:rsidP="0063017F">
      <w:pPr>
        <w:rPr>
          <w:rFonts w:eastAsiaTheme="minorEastAsia"/>
          <w:lang w:val="en-US"/>
        </w:rPr>
      </w:pPr>
      <w:r w:rsidRPr="1809C9FA">
        <w:rPr>
          <w:rFonts w:eastAsiaTheme="minorEastAsia"/>
          <w:lang w:val="en-US"/>
        </w:rPr>
        <w:t>The reinsurance pool is designed to be cost</w:t>
      </w:r>
      <w:r>
        <w:rPr>
          <w:rFonts w:eastAsiaTheme="minorEastAsia"/>
          <w:lang w:val="en-US"/>
        </w:rPr>
        <w:t xml:space="preserve"> </w:t>
      </w:r>
      <w:r w:rsidRPr="1809C9FA">
        <w:rPr>
          <w:rFonts w:eastAsiaTheme="minorEastAsia"/>
          <w:lang w:val="en-US"/>
        </w:rPr>
        <w:t>neutral to Government over time, based on the predicted cost and frequency of cyclone events. The estimated value and range of calls on the guarantee is unquantifiable due to significant uncertainty in the frequency and severity of cyclones and the resulting losses.</w:t>
      </w:r>
    </w:p>
    <w:p w14:paraId="20EC8622" w14:textId="3216E037" w:rsidR="002873A5" w:rsidRPr="002A2B3B" w:rsidRDefault="002873A5" w:rsidP="008C2F37">
      <w:pPr>
        <w:pStyle w:val="Heading4"/>
        <w:rPr>
          <w:rFonts w:eastAsia="Arial Bold"/>
          <w:lang w:val="en-US"/>
        </w:rPr>
      </w:pPr>
      <w:bookmarkStart w:id="199" w:name="_Hlk71275883"/>
      <w:r w:rsidRPr="1809C9FA">
        <w:rPr>
          <w:rFonts w:eastAsia="Arial Bold"/>
          <w:lang w:val="en-US"/>
        </w:rPr>
        <w:t>Government guarantees for housing</w:t>
      </w:r>
    </w:p>
    <w:p w14:paraId="2CE28452" w14:textId="77777777" w:rsidR="002873A5" w:rsidRPr="0063017F" w:rsidRDefault="002873A5" w:rsidP="0063017F">
      <w:pPr>
        <w:rPr>
          <w:rFonts w:eastAsiaTheme="minorEastAsia"/>
        </w:rPr>
      </w:pPr>
      <w:r w:rsidRPr="1809C9FA">
        <w:rPr>
          <w:rFonts w:eastAsiaTheme="minorEastAsia"/>
          <w:lang w:val="en-US"/>
        </w:rPr>
        <w:t xml:space="preserve">The Australian Government has </w:t>
      </w:r>
      <w:r>
        <w:rPr>
          <w:rFonts w:eastAsiaTheme="minorEastAsia"/>
          <w:lang w:val="en-US"/>
        </w:rPr>
        <w:t>several</w:t>
      </w:r>
      <w:r w:rsidRPr="1809C9FA">
        <w:rPr>
          <w:rFonts w:eastAsiaTheme="minorEastAsia"/>
          <w:lang w:val="en-US"/>
        </w:rPr>
        <w:t xml:space="preserve"> programs to support individuals to enter the housing market sooner. </w:t>
      </w:r>
      <w:r>
        <w:rPr>
          <w:rFonts w:eastAsiaTheme="minorEastAsia"/>
          <w:lang w:val="en-US"/>
        </w:rPr>
        <w:t>These are administered by Housing Australia.</w:t>
      </w:r>
      <w:r w:rsidRPr="1809C9FA">
        <w:rPr>
          <w:rFonts w:eastAsiaTheme="minorEastAsia"/>
          <w:lang w:val="en-US"/>
        </w:rPr>
        <w:t xml:space="preserve"> </w:t>
      </w:r>
    </w:p>
    <w:p w14:paraId="08FAF996" w14:textId="1934FC88" w:rsidR="002873A5" w:rsidRPr="0063017F" w:rsidRDefault="002873A5" w:rsidP="0063017F">
      <w:pPr>
        <w:rPr>
          <w:rFonts w:eastAsiaTheme="minorEastAsia"/>
        </w:rPr>
      </w:pPr>
      <w:r w:rsidRPr="1809C9FA">
        <w:rPr>
          <w:rFonts w:eastAsiaTheme="minorEastAsia"/>
          <w:lang w:val="en-US"/>
        </w:rPr>
        <w:t>The</w:t>
      </w:r>
      <w:r w:rsidRPr="1809C9FA">
        <w:rPr>
          <w:rFonts w:eastAsiaTheme="minorEastAsia"/>
          <w:b/>
          <w:lang w:val="en-US"/>
        </w:rPr>
        <w:t xml:space="preserve"> First Home Guarantee</w:t>
      </w:r>
      <w:r w:rsidRPr="1809C9FA">
        <w:rPr>
          <w:rFonts w:eastAsiaTheme="minorEastAsia"/>
          <w:lang w:val="en-US"/>
        </w:rPr>
        <w:t xml:space="preserve"> (formerly the First Home Loan Deposit Scheme) is designed to support eligible first home buyers, and non</w:t>
      </w:r>
      <w:r w:rsidR="00D737F9">
        <w:rPr>
          <w:rFonts w:eastAsiaTheme="minorEastAsia"/>
          <w:lang w:val="en-US"/>
        </w:rPr>
        <w:noBreakHyphen/>
      </w:r>
      <w:r w:rsidRPr="1809C9FA">
        <w:rPr>
          <w:rFonts w:eastAsiaTheme="minorEastAsia"/>
          <w:lang w:val="en-US"/>
        </w:rPr>
        <w:t xml:space="preserve">first home buyers who have not owned a property in Australia within the past </w:t>
      </w:r>
      <w:r w:rsidR="00D53A9B">
        <w:rPr>
          <w:rFonts w:eastAsiaTheme="minorEastAsia"/>
          <w:lang w:val="en-US"/>
        </w:rPr>
        <w:t>ten</w:t>
      </w:r>
      <w:r w:rsidR="00BF39CA" w:rsidRPr="1809C9FA">
        <w:rPr>
          <w:rFonts w:eastAsiaTheme="minorEastAsia"/>
          <w:lang w:val="en-US"/>
        </w:rPr>
        <w:t xml:space="preserve"> </w:t>
      </w:r>
      <w:r w:rsidRPr="1809C9FA">
        <w:rPr>
          <w:rFonts w:eastAsiaTheme="minorEastAsia"/>
          <w:lang w:val="en-US"/>
        </w:rPr>
        <w:t>years, to build or purchase a home by providing a guarantee to participating lenders for up to 15 per cent of the property purchase price. The</w:t>
      </w:r>
      <w:r w:rsidRPr="1809C9FA">
        <w:rPr>
          <w:rFonts w:eastAsiaTheme="minorEastAsia" w:hint="eastAsia"/>
          <w:lang w:val="en-US"/>
        </w:rPr>
        <w:t> </w:t>
      </w:r>
      <w:r w:rsidRPr="1809C9FA">
        <w:rPr>
          <w:rFonts w:eastAsiaTheme="minorEastAsia"/>
          <w:lang w:val="en-US"/>
        </w:rPr>
        <w:t>First Home Guarantee began on 1 January 2020.</w:t>
      </w:r>
    </w:p>
    <w:p w14:paraId="1F45A106" w14:textId="00431729" w:rsidR="002873A5" w:rsidRPr="0063017F" w:rsidRDefault="002873A5" w:rsidP="0063017F">
      <w:pPr>
        <w:rPr>
          <w:rFonts w:eastAsiaTheme="minorEastAsia"/>
        </w:rPr>
      </w:pPr>
      <w:r w:rsidRPr="1809C9FA">
        <w:rPr>
          <w:rFonts w:eastAsiaTheme="minorEastAsia"/>
          <w:lang w:val="en-US"/>
        </w:rPr>
        <w:t xml:space="preserve">The </w:t>
      </w:r>
      <w:r w:rsidRPr="1809C9FA">
        <w:rPr>
          <w:rFonts w:eastAsiaTheme="minorEastAsia"/>
          <w:b/>
          <w:lang w:val="en-US"/>
        </w:rPr>
        <w:t xml:space="preserve">New Home Guarantee </w:t>
      </w:r>
      <w:r w:rsidRPr="1809C9FA">
        <w:rPr>
          <w:rFonts w:eastAsiaTheme="minorEastAsia"/>
          <w:lang w:val="en-US"/>
        </w:rPr>
        <w:t>is designed to support eligible first home buyers seeking to build a new home or purchase a newly built home by providing a guarantee to participating lenders for up to 15</w:t>
      </w:r>
      <w:r>
        <w:rPr>
          <w:rFonts w:eastAsiaTheme="minorEastAsia"/>
          <w:lang w:val="en-US"/>
        </w:rPr>
        <w:t> </w:t>
      </w:r>
      <w:r w:rsidRPr="1809C9FA">
        <w:rPr>
          <w:rFonts w:eastAsiaTheme="minorEastAsia"/>
          <w:lang w:val="en-US"/>
        </w:rPr>
        <w:t>per</w:t>
      </w:r>
      <w:r>
        <w:rPr>
          <w:rFonts w:eastAsiaTheme="minorEastAsia"/>
          <w:lang w:val="en-US"/>
        </w:rPr>
        <w:t> </w:t>
      </w:r>
      <w:r w:rsidRPr="1809C9FA">
        <w:rPr>
          <w:rFonts w:eastAsiaTheme="minorEastAsia"/>
          <w:lang w:val="en-US"/>
        </w:rPr>
        <w:t>cent of the property purchase price. A second tranche of 10,000 New Home Guarantees was made available from 1</w:t>
      </w:r>
      <w:r w:rsidR="00D9795C">
        <w:rPr>
          <w:rFonts w:eastAsiaTheme="minorEastAsia" w:hint="eastAsia"/>
          <w:lang w:val="en-US"/>
        </w:rPr>
        <w:t> July </w:t>
      </w:r>
      <w:r w:rsidRPr="1809C9FA">
        <w:rPr>
          <w:rFonts w:eastAsiaTheme="minorEastAsia"/>
          <w:lang w:val="en-US"/>
        </w:rPr>
        <w:t>2021. The New Home Guarantee concluded on 30</w:t>
      </w:r>
      <w:r w:rsidRPr="1809C9FA">
        <w:rPr>
          <w:rFonts w:eastAsiaTheme="minorEastAsia" w:hint="eastAsia"/>
          <w:lang w:val="en-US"/>
        </w:rPr>
        <w:t> </w:t>
      </w:r>
      <w:r w:rsidRPr="1809C9FA">
        <w:rPr>
          <w:rFonts w:eastAsiaTheme="minorEastAsia"/>
          <w:lang w:val="en-US"/>
        </w:rPr>
        <w:t>June</w:t>
      </w:r>
      <w:r w:rsidRPr="1809C9FA">
        <w:rPr>
          <w:rFonts w:eastAsiaTheme="minorEastAsia" w:hint="eastAsia"/>
          <w:lang w:val="en-US"/>
        </w:rPr>
        <w:t> </w:t>
      </w:r>
      <w:r w:rsidRPr="1809C9FA">
        <w:rPr>
          <w:rFonts w:eastAsiaTheme="minorEastAsia"/>
          <w:lang w:val="en-US"/>
        </w:rPr>
        <w:t>2022</w:t>
      </w:r>
      <w:r>
        <w:rPr>
          <w:rFonts w:eastAsiaTheme="minorEastAsia"/>
          <w:lang w:val="en-US"/>
        </w:rPr>
        <w:t xml:space="preserve"> but</w:t>
      </w:r>
      <w:r w:rsidRPr="1809C9FA">
        <w:rPr>
          <w:rFonts w:eastAsiaTheme="minorEastAsia"/>
          <w:lang w:val="en-US"/>
        </w:rPr>
        <w:t xml:space="preserve"> its guarantees issued in previous financial years remain active. </w:t>
      </w:r>
    </w:p>
    <w:p w14:paraId="4D3F1921" w14:textId="7E94D3D5" w:rsidR="002873A5" w:rsidRPr="0063017F" w:rsidRDefault="002873A5" w:rsidP="0063017F">
      <w:pPr>
        <w:rPr>
          <w:rFonts w:eastAsiaTheme="minorEastAsia"/>
        </w:rPr>
      </w:pPr>
      <w:r w:rsidRPr="1809C9FA">
        <w:rPr>
          <w:rFonts w:eastAsiaTheme="minorEastAsia"/>
          <w:lang w:val="en-US"/>
        </w:rPr>
        <w:t xml:space="preserve">The </w:t>
      </w:r>
      <w:r w:rsidRPr="1809C9FA">
        <w:rPr>
          <w:rFonts w:eastAsiaTheme="minorEastAsia"/>
          <w:b/>
          <w:bCs/>
          <w:lang w:val="en-US"/>
        </w:rPr>
        <w:t>Family Home Guarantee</w:t>
      </w:r>
      <w:r w:rsidRPr="1809C9FA">
        <w:rPr>
          <w:rFonts w:eastAsiaTheme="minorEastAsia"/>
          <w:lang w:val="en-US"/>
        </w:rPr>
        <w:t xml:space="preserve"> is designed to support single parents</w:t>
      </w:r>
      <w:r>
        <w:rPr>
          <w:rFonts w:eastAsiaTheme="minorEastAsia"/>
          <w:lang w:val="en-US"/>
        </w:rPr>
        <w:t xml:space="preserve"> and single legal guardians</w:t>
      </w:r>
      <w:r w:rsidRPr="1809C9FA">
        <w:rPr>
          <w:rFonts w:eastAsiaTheme="minorEastAsia"/>
          <w:lang w:val="en-US"/>
        </w:rPr>
        <w:t xml:space="preserve"> with dependents seeking to enter, or re</w:t>
      </w:r>
      <w:r w:rsidR="00D737F9">
        <w:rPr>
          <w:rFonts w:eastAsiaTheme="minorEastAsia"/>
          <w:lang w:val="en-US"/>
        </w:rPr>
        <w:noBreakHyphen/>
      </w:r>
      <w:r w:rsidRPr="1809C9FA">
        <w:rPr>
          <w:rFonts w:eastAsiaTheme="minorEastAsia"/>
          <w:lang w:val="en-US"/>
        </w:rPr>
        <w:t>enter, the housing market</w:t>
      </w:r>
      <w:r>
        <w:rPr>
          <w:rFonts w:eastAsiaTheme="minorEastAsia"/>
          <w:lang w:val="en-US"/>
        </w:rPr>
        <w:t xml:space="preserve">. </w:t>
      </w:r>
      <w:r w:rsidRPr="1809C9FA">
        <w:rPr>
          <w:rFonts w:eastAsiaTheme="minorEastAsia"/>
          <w:lang w:val="en-US"/>
        </w:rPr>
        <w:t>The Family Home Guarantee commenced on 1</w:t>
      </w:r>
      <w:r w:rsidR="00D9795C">
        <w:rPr>
          <w:rFonts w:eastAsiaTheme="minorEastAsia"/>
          <w:lang w:val="en-US"/>
        </w:rPr>
        <w:t> July </w:t>
      </w:r>
      <w:r w:rsidRPr="1809C9FA">
        <w:rPr>
          <w:rFonts w:eastAsiaTheme="minorEastAsia"/>
          <w:lang w:val="en-US"/>
        </w:rPr>
        <w:t xml:space="preserve">2021. </w:t>
      </w:r>
    </w:p>
    <w:p w14:paraId="08B3D870" w14:textId="16A471B7" w:rsidR="002873A5" w:rsidRPr="0063017F" w:rsidRDefault="002873A5" w:rsidP="0063017F">
      <w:pPr>
        <w:rPr>
          <w:rFonts w:eastAsiaTheme="minorEastAsia"/>
        </w:rPr>
      </w:pPr>
      <w:r w:rsidRPr="1809C9FA">
        <w:rPr>
          <w:rFonts w:eastAsiaTheme="minorEastAsia"/>
          <w:lang w:val="en-US"/>
        </w:rPr>
        <w:t>The</w:t>
      </w:r>
      <w:r w:rsidRPr="1809C9FA">
        <w:rPr>
          <w:rFonts w:eastAsiaTheme="minorEastAsia"/>
          <w:b/>
          <w:bCs/>
          <w:lang w:val="en-US"/>
        </w:rPr>
        <w:t xml:space="preserve"> Regional First Home Buyer Guarantee </w:t>
      </w:r>
      <w:r w:rsidRPr="1809C9FA">
        <w:rPr>
          <w:rFonts w:eastAsiaTheme="minorEastAsia"/>
          <w:lang w:val="en-US"/>
        </w:rPr>
        <w:t>is designed to support eligible first home buyers and</w:t>
      </w:r>
      <w:r>
        <w:rPr>
          <w:rFonts w:eastAsiaTheme="minorEastAsia"/>
          <w:lang w:val="en-US"/>
        </w:rPr>
        <w:t xml:space="preserve"> </w:t>
      </w:r>
      <w:r w:rsidRPr="1809C9FA">
        <w:rPr>
          <w:rFonts w:eastAsiaTheme="minorEastAsia"/>
          <w:lang w:val="en-US"/>
        </w:rPr>
        <w:t>non</w:t>
      </w:r>
      <w:r w:rsidR="00D737F9">
        <w:rPr>
          <w:rFonts w:eastAsiaTheme="minorEastAsia"/>
          <w:lang w:val="en-US"/>
        </w:rPr>
        <w:noBreakHyphen/>
      </w:r>
      <w:r w:rsidRPr="1809C9FA">
        <w:rPr>
          <w:rFonts w:eastAsiaTheme="minorEastAsia"/>
          <w:lang w:val="en-US"/>
        </w:rPr>
        <w:t xml:space="preserve">first home buyers who have not owned a property in Australia within the past </w:t>
      </w:r>
      <w:r w:rsidR="00D53A9B">
        <w:rPr>
          <w:rFonts w:eastAsiaTheme="minorEastAsia"/>
          <w:lang w:val="en-US"/>
        </w:rPr>
        <w:t>ten</w:t>
      </w:r>
      <w:r w:rsidR="00BF39CA">
        <w:rPr>
          <w:rFonts w:eastAsiaTheme="minorEastAsia"/>
          <w:lang w:val="en-US"/>
        </w:rPr>
        <w:t xml:space="preserve"> </w:t>
      </w:r>
      <w:r w:rsidRPr="1809C9FA">
        <w:rPr>
          <w:rFonts w:eastAsiaTheme="minorEastAsia"/>
          <w:lang w:val="en-US"/>
        </w:rPr>
        <w:t xml:space="preserve">years, to build or purchase a home in a regional location by providing a guarantee to participating lenders of up to 15 per cent of the property purchase price (subject to a minimum deposit of 5 per cent). The Regional First Home Buyer Guarantee commenced on 1 October 2022. </w:t>
      </w:r>
    </w:p>
    <w:p w14:paraId="7683052B" w14:textId="283A83BF" w:rsidR="002873A5" w:rsidRPr="002A2B3B" w:rsidRDefault="002873A5" w:rsidP="0063017F">
      <w:pPr>
        <w:rPr>
          <w:rFonts w:eastAsiaTheme="minorEastAsia"/>
          <w:sz w:val="24"/>
          <w:szCs w:val="24"/>
          <w:lang w:val="en-US"/>
        </w:rPr>
      </w:pPr>
      <w:r w:rsidRPr="1809C9FA">
        <w:rPr>
          <w:rFonts w:eastAsiaTheme="minorEastAsia"/>
          <w:lang w:val="en-US"/>
        </w:rPr>
        <w:t xml:space="preserve">For the </w:t>
      </w:r>
      <w:r>
        <w:rPr>
          <w:rFonts w:eastAsiaTheme="minorEastAsia"/>
          <w:lang w:val="en-US"/>
        </w:rPr>
        <w:t>four</w:t>
      </w:r>
      <w:r w:rsidRPr="1809C9FA">
        <w:rPr>
          <w:rFonts w:eastAsiaTheme="minorEastAsia"/>
          <w:lang w:val="en-US"/>
        </w:rPr>
        <w:t xml:space="preserve"> programs listed above, the Australian Government guarantees the liabilities as they arise. Guaranteed liabilities arise where a lender</w:t>
      </w:r>
      <w:r w:rsidR="00D737F9">
        <w:rPr>
          <w:rFonts w:eastAsiaTheme="minorEastAsia"/>
          <w:lang w:val="en-US"/>
        </w:rPr>
        <w:t>’</w:t>
      </w:r>
      <w:r w:rsidRPr="1809C9FA">
        <w:rPr>
          <w:rFonts w:eastAsiaTheme="minorEastAsia"/>
          <w:lang w:val="en-US"/>
        </w:rPr>
        <w:t xml:space="preserve">s loss is covered by the guarantee. The lender then makes a claim against the guarantee and </w:t>
      </w:r>
      <w:r>
        <w:rPr>
          <w:rFonts w:eastAsiaTheme="minorEastAsia"/>
          <w:lang w:val="en-US"/>
        </w:rPr>
        <w:t>Housing Australia</w:t>
      </w:r>
      <w:r w:rsidRPr="1809C9FA">
        <w:rPr>
          <w:rFonts w:eastAsiaTheme="minorEastAsia"/>
          <w:lang w:val="en-US"/>
        </w:rPr>
        <w:t xml:space="preserve"> </w:t>
      </w:r>
      <w:r>
        <w:rPr>
          <w:rFonts w:eastAsiaTheme="minorEastAsia"/>
          <w:lang w:val="en-US"/>
        </w:rPr>
        <w:t>assesses</w:t>
      </w:r>
      <w:r w:rsidRPr="1809C9FA">
        <w:rPr>
          <w:rFonts w:eastAsiaTheme="minorEastAsia"/>
          <w:lang w:val="en-US"/>
        </w:rPr>
        <w:t xml:space="preserve"> the claim. Given liabilities under the Scheme are met by a standing appropriation, </w:t>
      </w:r>
      <w:r>
        <w:rPr>
          <w:rFonts w:eastAsiaTheme="minorEastAsia"/>
          <w:lang w:val="en-US"/>
        </w:rPr>
        <w:t xml:space="preserve">Housing </w:t>
      </w:r>
      <w:r>
        <w:rPr>
          <w:rFonts w:eastAsiaTheme="minorEastAsia"/>
          <w:lang w:val="en-US"/>
        </w:rPr>
        <w:lastRenderedPageBreak/>
        <w:t>Australia</w:t>
      </w:r>
      <w:r w:rsidRPr="1809C9FA">
        <w:rPr>
          <w:rFonts w:eastAsiaTheme="minorEastAsia"/>
          <w:lang w:val="en-US"/>
        </w:rPr>
        <w:t xml:space="preserve"> is not required to maintain capital and reserves to meet the liabilities associated with these programs.</w:t>
      </w:r>
    </w:p>
    <w:p w14:paraId="1B6A4393" w14:textId="76982AF1" w:rsidR="002873A5" w:rsidRPr="00B832E0" w:rsidRDefault="002873A5" w:rsidP="001078E4">
      <w:pPr>
        <w:pStyle w:val="Heading4"/>
      </w:pPr>
      <w:bookmarkStart w:id="200" w:name="_Toc71117887"/>
      <w:r w:rsidRPr="00B832E0">
        <w:t>Indemnities for specialised external advisers during the COVID</w:t>
      </w:r>
      <w:r w:rsidR="00D737F9">
        <w:noBreakHyphen/>
      </w:r>
      <w:r w:rsidRPr="00B832E0">
        <w:t>19 pandemic</w:t>
      </w:r>
      <w:bookmarkEnd w:id="200"/>
    </w:p>
    <w:p w14:paraId="56AF291B" w14:textId="11851862" w:rsidR="002873A5" w:rsidRPr="00B832E0" w:rsidRDefault="002873A5" w:rsidP="001174A8">
      <w:pPr>
        <w:rPr>
          <w:rFonts w:eastAsia="Book Antiqua"/>
        </w:rPr>
      </w:pPr>
      <w:r w:rsidRPr="00B832E0">
        <w:rPr>
          <w:rFonts w:eastAsia="Book Antiqua"/>
        </w:rPr>
        <w:t>The Government has provided indemnities for certain specialised external advisers engaged to provide advice on emerging markets issues related to</w:t>
      </w:r>
      <w:r>
        <w:rPr>
          <w:rFonts w:eastAsia="Book Antiqua"/>
        </w:rPr>
        <w:t> </w:t>
      </w:r>
      <w:r w:rsidRPr="00B832E0">
        <w:rPr>
          <w:rFonts w:eastAsia="Book Antiqua"/>
        </w:rPr>
        <w:t>COVID</w:t>
      </w:r>
      <w:r w:rsidR="00D737F9">
        <w:rPr>
          <w:rFonts w:eastAsia="Book Antiqua"/>
        </w:rPr>
        <w:noBreakHyphen/>
      </w:r>
      <w:r w:rsidRPr="00B832E0">
        <w:rPr>
          <w:rFonts w:eastAsia="Book Antiqua"/>
        </w:rPr>
        <w:t>19. Indemnities were provided to mitigate personal risk and provide coverage for costs related to any legal proceedings that may arise in relation to the provision of that advice.</w:t>
      </w:r>
    </w:p>
    <w:p w14:paraId="18C8CE52" w14:textId="25CFFDBD" w:rsidR="002873A5" w:rsidRPr="00B832E0" w:rsidRDefault="002873A5" w:rsidP="001174A8">
      <w:pPr>
        <w:rPr>
          <w:rFonts w:eastAsia="Book Antiqua"/>
        </w:rPr>
      </w:pPr>
      <w:r w:rsidRPr="00B832E0">
        <w:rPr>
          <w:rFonts w:eastAsia="Book Antiqua"/>
        </w:rPr>
        <w:t>The indemnities apply for the period of engagement as advisers and for claims that are notified within 12</w:t>
      </w:r>
      <w:r>
        <w:rPr>
          <w:rFonts w:eastAsia="Book Antiqua"/>
        </w:rPr>
        <w:t> </w:t>
      </w:r>
      <w:r w:rsidRPr="00B832E0">
        <w:rPr>
          <w:rFonts w:eastAsia="Book Antiqua"/>
        </w:rPr>
        <w:t>years after cessation of the adviser</w:t>
      </w:r>
      <w:r w:rsidR="00D737F9">
        <w:rPr>
          <w:rFonts w:eastAsia="Book Antiqua"/>
        </w:rPr>
        <w:t>’</w:t>
      </w:r>
      <w:r w:rsidRPr="00B832E0">
        <w:rPr>
          <w:rFonts w:eastAsia="Book Antiqua"/>
        </w:rPr>
        <w:t>s engagement. Until the indemnity agreements are varied or expire, they will remain as contingent and unquantifiable liabilities.</w:t>
      </w:r>
    </w:p>
    <w:p w14:paraId="6A9FEDA3" w14:textId="77777777" w:rsidR="002873A5" w:rsidRPr="00B832E0" w:rsidRDefault="002873A5" w:rsidP="001078E4">
      <w:pPr>
        <w:pStyle w:val="Heading4"/>
      </w:pPr>
      <w:bookmarkStart w:id="201" w:name="_Toc71117888"/>
      <w:bookmarkEnd w:id="199"/>
      <w:r w:rsidRPr="00B832E0">
        <w:t>Small and Medium Enterprise (SME) Guarantee Scheme</w:t>
      </w:r>
      <w:bookmarkEnd w:id="201"/>
      <w:r w:rsidRPr="00B832E0">
        <w:t xml:space="preserve"> and SME Recovery Loan Scheme</w:t>
      </w:r>
    </w:p>
    <w:p w14:paraId="146C7BDB" w14:textId="70F53F8C" w:rsidR="002873A5" w:rsidRPr="00B832E0" w:rsidRDefault="002873A5" w:rsidP="001078E4">
      <w:pPr>
        <w:rPr>
          <w:rFonts w:eastAsia="Book Antiqua"/>
        </w:rPr>
      </w:pPr>
      <w:r w:rsidRPr="00B832E0">
        <w:rPr>
          <w:rFonts w:eastAsia="Book Antiqua"/>
        </w:rPr>
        <w:t>The Australian Government provided support for small and medium enterprises during the COVID</w:t>
      </w:r>
      <w:r w:rsidR="00D737F9">
        <w:rPr>
          <w:rFonts w:eastAsia="Book Antiqua"/>
        </w:rPr>
        <w:noBreakHyphen/>
      </w:r>
      <w:r w:rsidRPr="00B832E0">
        <w:rPr>
          <w:rFonts w:eastAsia="Book Antiqua"/>
        </w:rPr>
        <w:t>19</w:t>
      </w:r>
      <w:r>
        <w:rPr>
          <w:rFonts w:eastAsia="Book Antiqua"/>
        </w:rPr>
        <w:t> </w:t>
      </w:r>
      <w:r w:rsidRPr="00B832E0">
        <w:rPr>
          <w:rFonts w:eastAsia="Book Antiqua"/>
        </w:rPr>
        <w:t>pandemic through guaranteeing loans issued by participating lenders. This</w:t>
      </w:r>
      <w:r w:rsidRPr="00B832E0">
        <w:rPr>
          <w:rFonts w:eastAsia="Book Antiqua" w:hint="cs"/>
        </w:rPr>
        <w:t> </w:t>
      </w:r>
      <w:r w:rsidRPr="00B832E0">
        <w:rPr>
          <w:rFonts w:eastAsia="Book Antiqua"/>
        </w:rPr>
        <w:t>support was provided under a number of schemes.</w:t>
      </w:r>
    </w:p>
    <w:p w14:paraId="20D83AC8" w14:textId="77777777" w:rsidR="002873A5" w:rsidRPr="00B832E0" w:rsidRDefault="002873A5" w:rsidP="001174A8">
      <w:pPr>
        <w:rPr>
          <w:rFonts w:eastAsia="Book Antiqua"/>
        </w:rPr>
      </w:pPr>
      <w:r w:rsidRPr="00B832E0">
        <w:rPr>
          <w:rFonts w:eastAsia="Book Antiqua"/>
        </w:rPr>
        <w:t xml:space="preserve">The </w:t>
      </w:r>
      <w:r w:rsidRPr="00B832E0">
        <w:rPr>
          <w:rFonts w:eastAsia="Book Antiqua"/>
          <w:b/>
        </w:rPr>
        <w:t>Coronavirus Small and Medium Enterprises (SME) Guarantee Scheme</w:t>
      </w:r>
      <w:r w:rsidRPr="00B832E0">
        <w:rPr>
          <w:rFonts w:eastAsia="Book Antiqua"/>
        </w:rPr>
        <w:t xml:space="preserve"> provided a guarantee of 50</w:t>
      </w:r>
      <w:r>
        <w:rPr>
          <w:rFonts w:eastAsia="Book Antiqua"/>
        </w:rPr>
        <w:t> </w:t>
      </w:r>
      <w:r w:rsidRPr="00B832E0">
        <w:rPr>
          <w:rFonts w:eastAsia="Book Antiqua"/>
        </w:rPr>
        <w:t>per</w:t>
      </w:r>
      <w:r>
        <w:rPr>
          <w:rFonts w:eastAsia="Book Antiqua"/>
        </w:rPr>
        <w:t> </w:t>
      </w:r>
      <w:r w:rsidRPr="00B832E0">
        <w:rPr>
          <w:rFonts w:eastAsia="Book Antiqua"/>
        </w:rPr>
        <w:t xml:space="preserve">cent of the eligible loan amount for eligible SMEs and the </w:t>
      </w:r>
      <w:r w:rsidRPr="00B832E0">
        <w:rPr>
          <w:rFonts w:eastAsia="Book Antiqua"/>
          <w:b/>
        </w:rPr>
        <w:t>Show Starter Loan Scheme</w:t>
      </w:r>
      <w:r w:rsidRPr="00B832E0">
        <w:rPr>
          <w:rFonts w:eastAsia="Book Antiqua"/>
        </w:rPr>
        <w:t xml:space="preserve"> provided a guarantee of 100</w:t>
      </w:r>
      <w:r>
        <w:rPr>
          <w:rFonts w:eastAsia="Book Antiqua"/>
        </w:rPr>
        <w:t> </w:t>
      </w:r>
      <w:r w:rsidRPr="00B832E0">
        <w:rPr>
          <w:rFonts w:eastAsia="Book Antiqua"/>
        </w:rPr>
        <w:t>per</w:t>
      </w:r>
      <w:r>
        <w:rPr>
          <w:rFonts w:eastAsia="Book Antiqua"/>
        </w:rPr>
        <w:t> </w:t>
      </w:r>
      <w:r w:rsidRPr="00B832E0">
        <w:rPr>
          <w:rFonts w:eastAsia="Book Antiqua"/>
        </w:rPr>
        <w:t>cent of the eligible loan amount for the arts and entertainment businesses, with both schemes closing for new loans on 30</w:t>
      </w:r>
      <w:r w:rsidRPr="00B832E0">
        <w:rPr>
          <w:rFonts w:eastAsia="Book Antiqua" w:hint="cs"/>
        </w:rPr>
        <w:t> </w:t>
      </w:r>
      <w:r w:rsidRPr="00B832E0">
        <w:rPr>
          <w:rFonts w:eastAsia="Book Antiqua"/>
        </w:rPr>
        <w:t>June</w:t>
      </w:r>
      <w:r w:rsidRPr="00B832E0">
        <w:rPr>
          <w:rFonts w:eastAsia="Book Antiqua" w:hint="cs"/>
        </w:rPr>
        <w:t> </w:t>
      </w:r>
      <w:r w:rsidRPr="00B832E0">
        <w:rPr>
          <w:rFonts w:eastAsia="Book Antiqua"/>
        </w:rPr>
        <w:t>2021.</w:t>
      </w:r>
    </w:p>
    <w:p w14:paraId="2253C34E" w14:textId="5AF83522" w:rsidR="002873A5" w:rsidRPr="00B832E0" w:rsidRDefault="002873A5" w:rsidP="001174A8">
      <w:pPr>
        <w:rPr>
          <w:rFonts w:eastAsia="Book Antiqua"/>
        </w:rPr>
      </w:pPr>
      <w:r w:rsidRPr="00B832E0">
        <w:rPr>
          <w:rFonts w:eastAsia="Book Antiqua"/>
        </w:rPr>
        <w:t xml:space="preserve">The </w:t>
      </w:r>
      <w:r w:rsidRPr="00B832E0">
        <w:rPr>
          <w:rFonts w:eastAsia="Book Antiqua"/>
          <w:b/>
        </w:rPr>
        <w:t>SME Recovery Loan Scheme</w:t>
      </w:r>
      <w:r w:rsidRPr="00B832E0">
        <w:rPr>
          <w:rFonts w:eastAsia="Book Antiqua"/>
        </w:rPr>
        <w:t>, an expansion and extension of the Coronavirus SME Guarantee Scheme, provided a guarantee of up to 80</w:t>
      </w:r>
      <w:r w:rsidR="00BD3D7E">
        <w:rPr>
          <w:rFonts w:eastAsia="Book Antiqua"/>
        </w:rPr>
        <w:t> per cent</w:t>
      </w:r>
      <w:r w:rsidRPr="00B832E0">
        <w:rPr>
          <w:rFonts w:eastAsia="Book Antiqua"/>
        </w:rPr>
        <w:t xml:space="preserve"> of the eligible loan amount, and was initially available to applicants from 1</w:t>
      </w:r>
      <w:r w:rsidRPr="00B832E0">
        <w:rPr>
          <w:rFonts w:eastAsia="Book Antiqua" w:hint="cs"/>
        </w:rPr>
        <w:t> </w:t>
      </w:r>
      <w:r w:rsidRPr="00B832E0">
        <w:rPr>
          <w:rFonts w:eastAsia="Book Antiqua"/>
        </w:rPr>
        <w:t>April</w:t>
      </w:r>
      <w:r w:rsidRPr="00B832E0">
        <w:rPr>
          <w:rFonts w:eastAsia="Book Antiqua" w:hint="cs"/>
        </w:rPr>
        <w:t> </w:t>
      </w:r>
      <w:r w:rsidRPr="00B832E0">
        <w:rPr>
          <w:rFonts w:eastAsia="Book Antiqua"/>
        </w:rPr>
        <w:t>2021 until 31</w:t>
      </w:r>
      <w:r w:rsidRPr="00B832E0">
        <w:rPr>
          <w:rFonts w:eastAsia="Book Antiqua" w:hint="cs"/>
        </w:rPr>
        <w:t> </w:t>
      </w:r>
      <w:r w:rsidRPr="00B832E0">
        <w:rPr>
          <w:rFonts w:eastAsia="Book Antiqua"/>
        </w:rPr>
        <w:t>December</w:t>
      </w:r>
      <w:r w:rsidRPr="00B832E0">
        <w:rPr>
          <w:rFonts w:eastAsia="Book Antiqua" w:hint="cs"/>
        </w:rPr>
        <w:t> </w:t>
      </w:r>
      <w:r w:rsidRPr="00B832E0">
        <w:rPr>
          <w:rFonts w:eastAsia="Book Antiqua"/>
        </w:rPr>
        <w:t>2021.</w:t>
      </w:r>
    </w:p>
    <w:p w14:paraId="0278471B" w14:textId="4E791189" w:rsidR="002873A5" w:rsidRPr="00B832E0" w:rsidRDefault="002873A5" w:rsidP="001174A8">
      <w:pPr>
        <w:rPr>
          <w:rFonts w:eastAsia="Book Antiqua"/>
        </w:rPr>
      </w:pPr>
      <w:r w:rsidRPr="00B832E0">
        <w:rPr>
          <w:rFonts w:eastAsia="Book Antiqua"/>
        </w:rPr>
        <w:t>The SME Recovery Loan Scheme was extended from 1</w:t>
      </w:r>
      <w:r>
        <w:rPr>
          <w:rFonts w:eastAsia="Book Antiqua"/>
        </w:rPr>
        <w:t> </w:t>
      </w:r>
      <w:r w:rsidRPr="00B832E0">
        <w:rPr>
          <w:rFonts w:eastAsia="Book Antiqua"/>
        </w:rPr>
        <w:t>January</w:t>
      </w:r>
      <w:r>
        <w:rPr>
          <w:rFonts w:eastAsia="Book Antiqua"/>
        </w:rPr>
        <w:t> </w:t>
      </w:r>
      <w:r w:rsidRPr="00B832E0">
        <w:rPr>
          <w:rFonts w:eastAsia="Book Antiqua"/>
        </w:rPr>
        <w:t>2022 to 30</w:t>
      </w:r>
      <w:r w:rsidRPr="00B832E0">
        <w:rPr>
          <w:rFonts w:eastAsia="Book Antiqua" w:hint="cs"/>
        </w:rPr>
        <w:t> </w:t>
      </w:r>
      <w:r w:rsidRPr="00B832E0">
        <w:rPr>
          <w:rFonts w:eastAsia="Book Antiqua"/>
        </w:rPr>
        <w:t>June</w:t>
      </w:r>
      <w:r w:rsidRPr="00B832E0">
        <w:rPr>
          <w:rFonts w:eastAsia="Book Antiqua" w:hint="cs"/>
        </w:rPr>
        <w:t> </w:t>
      </w:r>
      <w:r w:rsidRPr="00B832E0">
        <w:rPr>
          <w:rFonts w:eastAsia="Book Antiqua"/>
        </w:rPr>
        <w:t>2022, and during this period the Government provided a guarantee of 50</w:t>
      </w:r>
      <w:r>
        <w:rPr>
          <w:rFonts w:eastAsia="Book Antiqua"/>
        </w:rPr>
        <w:t> </w:t>
      </w:r>
      <w:r w:rsidRPr="00B832E0">
        <w:rPr>
          <w:rFonts w:eastAsia="Book Antiqua"/>
        </w:rPr>
        <w:t>per</w:t>
      </w:r>
      <w:r>
        <w:rPr>
          <w:rFonts w:eastAsia="Book Antiqua"/>
        </w:rPr>
        <w:t> </w:t>
      </w:r>
      <w:r w:rsidRPr="00B832E0">
        <w:rPr>
          <w:rFonts w:eastAsia="Book Antiqua"/>
        </w:rPr>
        <w:t>cent of the eligible loan</w:t>
      </w:r>
      <w:r w:rsidR="001174A8">
        <w:rPr>
          <w:rFonts w:eastAsia="Book Antiqua"/>
        </w:rPr>
        <w:t> </w:t>
      </w:r>
      <w:r w:rsidRPr="00B832E0">
        <w:rPr>
          <w:rFonts w:eastAsia="Book Antiqua"/>
        </w:rPr>
        <w:t>amount.</w:t>
      </w:r>
    </w:p>
    <w:p w14:paraId="5B4C7A06" w14:textId="77777777" w:rsidR="002873A5" w:rsidRPr="00B832E0" w:rsidRDefault="002873A5" w:rsidP="001174A8">
      <w:pPr>
        <w:rPr>
          <w:rFonts w:eastAsia="Book Antiqua"/>
        </w:rPr>
      </w:pPr>
      <w:r w:rsidRPr="00B832E0">
        <w:rPr>
          <w:rFonts w:eastAsia="Book Antiqua"/>
        </w:rPr>
        <w:t>Under each of the above schemes, the Australian</w:t>
      </w:r>
      <w:r w:rsidRPr="00B832E0">
        <w:rPr>
          <w:rFonts w:eastAsia="Book Antiqua" w:hint="cs"/>
        </w:rPr>
        <w:t> </w:t>
      </w:r>
      <w:r w:rsidRPr="00B832E0">
        <w:rPr>
          <w:rFonts w:eastAsia="Book Antiqua"/>
        </w:rPr>
        <w:t>Government guaranteed to pay an approved lender in the event of default by small and medium enterprises. Although all schemes have closed to new loans, the risk to the Australian</w:t>
      </w:r>
      <w:r w:rsidRPr="00B832E0">
        <w:rPr>
          <w:rFonts w:eastAsia="Book Antiqua" w:hint="cs"/>
        </w:rPr>
        <w:t> </w:t>
      </w:r>
      <w:r w:rsidRPr="00B832E0">
        <w:rPr>
          <w:rFonts w:eastAsia="Book Antiqua"/>
        </w:rPr>
        <w:t>Government remains until the final claim date for SME Recovery Loan Scheme on 30</w:t>
      </w:r>
      <w:r w:rsidRPr="00B832E0">
        <w:rPr>
          <w:rFonts w:eastAsia="Book Antiqua" w:hint="cs"/>
        </w:rPr>
        <w:t> </w:t>
      </w:r>
      <w:r w:rsidRPr="00B832E0">
        <w:rPr>
          <w:rFonts w:eastAsia="Book Antiqua"/>
        </w:rPr>
        <w:t>September</w:t>
      </w:r>
      <w:r w:rsidRPr="00B832E0">
        <w:rPr>
          <w:rFonts w:eastAsia="Book Antiqua" w:hint="cs"/>
        </w:rPr>
        <w:t> </w:t>
      </w:r>
      <w:r w:rsidRPr="00B832E0">
        <w:rPr>
          <w:rFonts w:eastAsia="Book Antiqua"/>
        </w:rPr>
        <w:t xml:space="preserve">2033. </w:t>
      </w:r>
    </w:p>
    <w:p w14:paraId="1FF22042" w14:textId="77777777" w:rsidR="002873A5" w:rsidRPr="00B832E0" w:rsidRDefault="002873A5" w:rsidP="001078E4">
      <w:pPr>
        <w:pStyle w:val="Heading4"/>
        <w:rPr>
          <w:rFonts w:eastAsia="Arial"/>
        </w:rPr>
      </w:pPr>
      <w:r w:rsidRPr="00B832E0">
        <w:rPr>
          <w:rFonts w:eastAsia="Arial"/>
        </w:rPr>
        <w:t>Terrorism insurance – commercial cover</w:t>
      </w:r>
    </w:p>
    <w:p w14:paraId="26CC59EC" w14:textId="42850A10" w:rsidR="002873A5" w:rsidRPr="00FE7B65" w:rsidRDefault="002873A5" w:rsidP="00FE7B65">
      <w:pPr>
        <w:rPr>
          <w:rFonts w:eastAsiaTheme="minorEastAsia"/>
        </w:rPr>
      </w:pPr>
      <w:bookmarkStart w:id="202" w:name="_Toc99141899"/>
      <w:r w:rsidRPr="1809C9FA">
        <w:rPr>
          <w:rFonts w:eastAsiaTheme="minorEastAsia"/>
          <w:lang w:val="en-US"/>
        </w:rPr>
        <w:t xml:space="preserve">The </w:t>
      </w:r>
      <w:r>
        <w:rPr>
          <w:rFonts w:eastAsiaTheme="minorEastAsia"/>
          <w:i/>
          <w:iCs/>
          <w:lang w:val="en-US"/>
        </w:rPr>
        <w:t xml:space="preserve">Terrorism and Cyclone Insurance Act </w:t>
      </w:r>
      <w:r w:rsidRPr="004238D4">
        <w:rPr>
          <w:rFonts w:eastAsiaTheme="minorEastAsia"/>
          <w:lang w:val="en-US"/>
        </w:rPr>
        <w:t>2003</w:t>
      </w:r>
      <w:r>
        <w:rPr>
          <w:rFonts w:eastAsiaTheme="minorEastAsia"/>
          <w:lang w:val="en-US"/>
        </w:rPr>
        <w:t xml:space="preserve"> (formerly the </w:t>
      </w:r>
      <w:r>
        <w:rPr>
          <w:rFonts w:eastAsiaTheme="minorEastAsia"/>
          <w:i/>
          <w:iCs/>
          <w:lang w:val="en-US"/>
        </w:rPr>
        <w:t>Terrorism Act 2003</w:t>
      </w:r>
      <w:r>
        <w:rPr>
          <w:rFonts w:eastAsiaTheme="minorEastAsia"/>
          <w:lang w:val="en-US"/>
        </w:rPr>
        <w:t>)</w:t>
      </w:r>
      <w:r w:rsidRPr="1809C9FA">
        <w:rPr>
          <w:rFonts w:eastAsiaTheme="minorEastAsia"/>
          <w:lang w:val="en-US"/>
        </w:rPr>
        <w:t xml:space="preserve"> established a</w:t>
      </w:r>
      <w:r w:rsidR="001174A8">
        <w:rPr>
          <w:rFonts w:eastAsiaTheme="minorEastAsia"/>
          <w:lang w:val="en-US"/>
        </w:rPr>
        <w:t> </w:t>
      </w:r>
      <w:r w:rsidRPr="1809C9FA">
        <w:rPr>
          <w:rFonts w:eastAsiaTheme="minorEastAsia"/>
          <w:lang w:val="en-US"/>
        </w:rPr>
        <w:t>scheme for terrorism insurance covering damage to commercial property, including associated business interruption and public liability (extended in 2017 to mixed</w:t>
      </w:r>
      <w:r w:rsidR="00D737F9">
        <w:rPr>
          <w:rFonts w:eastAsiaTheme="minorEastAsia"/>
          <w:lang w:val="en-US"/>
        </w:rPr>
        <w:noBreakHyphen/>
      </w:r>
      <w:r w:rsidRPr="1809C9FA">
        <w:rPr>
          <w:rFonts w:eastAsiaTheme="minorEastAsia"/>
          <w:lang w:val="en-US"/>
        </w:rPr>
        <w:t>use and high</w:t>
      </w:r>
      <w:r w:rsidR="00D737F9">
        <w:rPr>
          <w:rFonts w:eastAsiaTheme="minorEastAsia"/>
          <w:lang w:val="en-US"/>
        </w:rPr>
        <w:noBreakHyphen/>
      </w:r>
      <w:r w:rsidRPr="1809C9FA">
        <w:rPr>
          <w:rFonts w:eastAsiaTheme="minorEastAsia"/>
          <w:lang w:val="en-US"/>
        </w:rPr>
        <w:t xml:space="preserve">value residential buildings). The Australian Reinsurance Pool Corporation (ARPC) uses reinsurance premiums paid by insurers to meet its administrative expenses, to maintain a pool of funds and to purchase reinsurance to help meet future claims. </w:t>
      </w:r>
      <w:r w:rsidRPr="1809C9FA">
        <w:rPr>
          <w:rFonts w:eastAsiaTheme="minorEastAsia"/>
          <w:lang w:val="en-US"/>
        </w:rPr>
        <w:lastRenderedPageBreak/>
        <w:t>The</w:t>
      </w:r>
      <w:r w:rsidR="00611B5D">
        <w:rPr>
          <w:rFonts w:eastAsiaTheme="minorEastAsia"/>
          <w:lang w:val="en-US"/>
        </w:rPr>
        <w:t> </w:t>
      </w:r>
      <w:r w:rsidRPr="00FE7B65">
        <w:rPr>
          <w:rFonts w:eastAsiaTheme="minorEastAsia"/>
        </w:rPr>
        <w:t>Australian Government guarantees to pay any liabilities of the ARPC, however the responsible Minister (or delegate) must declare a reduced payout rate to insured entities if the Government</w:t>
      </w:r>
      <w:r w:rsidR="00D737F9">
        <w:rPr>
          <w:rFonts w:eastAsiaTheme="minorEastAsia"/>
        </w:rPr>
        <w:t>’</w:t>
      </w:r>
      <w:r w:rsidRPr="00FE7B65">
        <w:rPr>
          <w:rFonts w:eastAsiaTheme="minorEastAsia"/>
        </w:rPr>
        <w:t>s liability would otherwise exceed $10 billion.</w:t>
      </w:r>
    </w:p>
    <w:p w14:paraId="08A27354" w14:textId="77777777" w:rsidR="002873A5" w:rsidRPr="00B832E0" w:rsidRDefault="002873A5" w:rsidP="001078E4">
      <w:pPr>
        <w:pStyle w:val="Heading3"/>
        <w:rPr>
          <w:rFonts w:eastAsia="Arial"/>
        </w:rPr>
      </w:pPr>
      <w:bookmarkStart w:id="203" w:name="_Toc166165536"/>
      <w:r w:rsidRPr="00B832E0">
        <w:rPr>
          <w:rFonts w:eastAsia="Arial"/>
        </w:rPr>
        <w:t>Contingent liabilities – quantifiable</w:t>
      </w:r>
      <w:bookmarkEnd w:id="202"/>
      <w:bookmarkEnd w:id="203"/>
    </w:p>
    <w:p w14:paraId="5B2F00A8" w14:textId="77777777" w:rsidR="002873A5" w:rsidRPr="002E7D92" w:rsidRDefault="002873A5" w:rsidP="001078E4">
      <w:pPr>
        <w:pStyle w:val="Heading4"/>
      </w:pPr>
      <w:bookmarkStart w:id="204" w:name="_Toc71117889"/>
      <w:r w:rsidRPr="002E7D92">
        <w:t xml:space="preserve">Australian Taxation Office </w:t>
      </w:r>
      <w:r>
        <w:rPr>
          <w:rFonts w:hint="eastAsia"/>
        </w:rPr>
        <w:t>–</w:t>
      </w:r>
      <w:r w:rsidRPr="002E7D92">
        <w:t xml:space="preserve"> tax </w:t>
      </w:r>
      <w:r w:rsidRPr="00BD728C">
        <w:t>disputes</w:t>
      </w:r>
    </w:p>
    <w:p w14:paraId="35390E24" w14:textId="77777777" w:rsidR="002873A5" w:rsidRPr="008D5E38" w:rsidRDefault="002873A5" w:rsidP="008D5E38">
      <w:pPr>
        <w:rPr>
          <w:rFonts w:eastAsiaTheme="minorEastAsia"/>
        </w:rPr>
      </w:pPr>
      <w:r w:rsidRPr="1809C9FA">
        <w:rPr>
          <w:rFonts w:eastAsiaTheme="minorEastAsia"/>
          <w:lang w:val="en-US"/>
        </w:rPr>
        <w:t>At any point in time, the Australian Taxation Office is involved in a range of dispute resolution processes, including litigation, relating to tax disputes.</w:t>
      </w:r>
    </w:p>
    <w:p w14:paraId="68E03E23" w14:textId="7405CBA5" w:rsidR="002873A5" w:rsidRPr="008D5E38" w:rsidRDefault="002873A5" w:rsidP="008D5E38">
      <w:pPr>
        <w:rPr>
          <w:rFonts w:eastAsiaTheme="minorEastAsia"/>
        </w:rPr>
      </w:pPr>
      <w:r w:rsidRPr="1809C9FA">
        <w:rPr>
          <w:rFonts w:eastAsiaTheme="minorEastAsia"/>
          <w:lang w:val="en-US"/>
        </w:rPr>
        <w:t xml:space="preserve">Details of the outcome of dispute resolution processes remain uncertain until a court ruling is made and/or an agreement is reached with the taxpayer. Accordingly, in most cases it is not possible to </w:t>
      </w:r>
      <w:r>
        <w:rPr>
          <w:rFonts w:eastAsiaTheme="minorEastAsia"/>
          <w:lang w:val="en-US"/>
        </w:rPr>
        <w:t xml:space="preserve">reliably </w:t>
      </w:r>
      <w:r w:rsidRPr="1809C9FA">
        <w:rPr>
          <w:rFonts w:eastAsiaTheme="minorEastAsia"/>
          <w:lang w:val="en-US"/>
        </w:rPr>
        <w:t>estimate the likely financial impact of current disputes. The estimated aggregate value of tax in dispute as at</w:t>
      </w:r>
      <w:r>
        <w:rPr>
          <w:rFonts w:eastAsiaTheme="minorEastAsia"/>
          <w:lang w:val="en-US"/>
        </w:rPr>
        <w:t xml:space="preserve"> 29</w:t>
      </w:r>
      <w:r w:rsidR="00D9795C">
        <w:rPr>
          <w:rFonts w:eastAsiaTheme="minorEastAsia"/>
          <w:lang w:val="en-US"/>
        </w:rPr>
        <w:t> February </w:t>
      </w:r>
      <w:r>
        <w:rPr>
          <w:rFonts w:eastAsiaTheme="minorEastAsia"/>
          <w:lang w:val="en-US"/>
        </w:rPr>
        <w:t>2024</w:t>
      </w:r>
      <w:r w:rsidRPr="1809C9FA">
        <w:rPr>
          <w:rFonts w:eastAsiaTheme="minorEastAsia"/>
          <w:lang w:val="en-US"/>
        </w:rPr>
        <w:t>, for which a provision has not been made, is $</w:t>
      </w:r>
      <w:r>
        <w:rPr>
          <w:rFonts w:eastAsiaTheme="minorEastAsia"/>
          <w:lang w:val="en-US"/>
        </w:rPr>
        <w:t>9.7</w:t>
      </w:r>
      <w:r w:rsidR="0023629A">
        <w:rPr>
          <w:rFonts w:eastAsiaTheme="minorEastAsia"/>
          <w:lang w:val="en-US"/>
        </w:rPr>
        <w:t> billion</w:t>
      </w:r>
      <w:r w:rsidRPr="1809C9FA">
        <w:rPr>
          <w:rFonts w:eastAsiaTheme="minorEastAsia"/>
          <w:lang w:val="en-US"/>
        </w:rPr>
        <w:t>.</w:t>
      </w:r>
    </w:p>
    <w:p w14:paraId="7DBCB45B" w14:textId="14665BA8" w:rsidR="002873A5" w:rsidRPr="008D5E38" w:rsidRDefault="002873A5" w:rsidP="008D5E38">
      <w:pPr>
        <w:rPr>
          <w:rFonts w:eastAsiaTheme="minorEastAsia"/>
        </w:rPr>
      </w:pPr>
      <w:r w:rsidRPr="1809C9FA">
        <w:rPr>
          <w:rFonts w:eastAsiaTheme="minorEastAsia"/>
          <w:lang w:val="en-US"/>
        </w:rPr>
        <w:t>Outcomes of dispute resolution processes are included in the Commissioner of Taxation</w:t>
      </w:r>
      <w:r w:rsidR="00D737F9">
        <w:rPr>
          <w:rFonts w:eastAsiaTheme="minorEastAsia"/>
          <w:lang w:val="en-US"/>
        </w:rPr>
        <w:t>’</w:t>
      </w:r>
      <w:r w:rsidRPr="1809C9FA">
        <w:rPr>
          <w:rFonts w:eastAsiaTheme="minorEastAsia"/>
          <w:lang w:val="en-US"/>
        </w:rPr>
        <w:t>s Annual Report each year. This may include disputes resolved through objections,</w:t>
      </w:r>
      <w:r w:rsidRPr="1809C9FA">
        <w:rPr>
          <w:rFonts w:eastAsiaTheme="minorEastAsia"/>
          <w:sz w:val="24"/>
          <w:szCs w:val="24"/>
          <w:lang w:val="en-US"/>
        </w:rPr>
        <w:t xml:space="preserve"> </w:t>
      </w:r>
      <w:r w:rsidRPr="1809C9FA">
        <w:rPr>
          <w:rFonts w:eastAsiaTheme="minorEastAsia"/>
          <w:lang w:val="en-US"/>
        </w:rPr>
        <w:t>settlements and court and tribunal decisions. It may also include amounts owed by taxpayers that are subject to dispute but not finalised.</w:t>
      </w:r>
    </w:p>
    <w:bookmarkEnd w:id="204"/>
    <w:p w14:paraId="4B5FF9A0" w14:textId="77777777" w:rsidR="002873A5" w:rsidRPr="00DE183C" w:rsidRDefault="002873A5" w:rsidP="001078E4">
      <w:pPr>
        <w:pStyle w:val="Heading4"/>
      </w:pPr>
      <w:r w:rsidRPr="00DE183C">
        <w:t xml:space="preserve">International </w:t>
      </w:r>
      <w:r w:rsidRPr="001D7010">
        <w:t>financial</w:t>
      </w:r>
      <w:r w:rsidRPr="00DE183C">
        <w:t xml:space="preserve"> institutions </w:t>
      </w:r>
      <w:r>
        <w:rPr>
          <w:rFonts w:hint="eastAsia"/>
        </w:rPr>
        <w:t>–</w:t>
      </w:r>
      <w:r w:rsidRPr="00DE183C">
        <w:t xml:space="preserve"> uncalled capital subscriptions</w:t>
      </w:r>
    </w:p>
    <w:p w14:paraId="3BF83EA0" w14:textId="11DFFDB4" w:rsidR="002873A5" w:rsidRPr="00FE7B65" w:rsidRDefault="002873A5" w:rsidP="00FE7B65">
      <w:pPr>
        <w:rPr>
          <w:rFonts w:eastAsiaTheme="minorEastAsia"/>
        </w:rPr>
      </w:pPr>
      <w:r>
        <w:rPr>
          <w:rFonts w:eastAsiaTheme="minorEastAsia"/>
          <w:lang w:val="en-US"/>
        </w:rPr>
        <w:t xml:space="preserve">The </w:t>
      </w:r>
      <w:r w:rsidRPr="1809C9FA">
        <w:rPr>
          <w:rFonts w:eastAsiaTheme="minorEastAsia"/>
          <w:lang w:val="en-US"/>
        </w:rPr>
        <w:t>Australian Government has held an uncalled capital subscription in the International Bank for Reconstruction and Development (IBRD) since 1947. Australia</w:t>
      </w:r>
      <w:r w:rsidR="00D737F9">
        <w:rPr>
          <w:rFonts w:eastAsiaTheme="minorEastAsia"/>
          <w:lang w:val="en-US"/>
        </w:rPr>
        <w:t>’</w:t>
      </w:r>
      <w:r w:rsidRPr="1809C9FA">
        <w:rPr>
          <w:rFonts w:eastAsiaTheme="minorEastAsia"/>
          <w:lang w:val="en-US"/>
        </w:rPr>
        <w:t>s current uncalled capital subscription to the IBRD totals around US$4.</w:t>
      </w:r>
      <w:r>
        <w:rPr>
          <w:rFonts w:eastAsiaTheme="minorEastAsia"/>
          <w:lang w:val="en-US"/>
        </w:rPr>
        <w:t>4</w:t>
      </w:r>
      <w:r w:rsidR="0023629A">
        <w:rPr>
          <w:rFonts w:eastAsiaTheme="minorEastAsia"/>
          <w:lang w:val="en-US"/>
        </w:rPr>
        <w:t> billion</w:t>
      </w:r>
      <w:r w:rsidRPr="1809C9FA">
        <w:rPr>
          <w:rFonts w:eastAsiaTheme="minorEastAsia"/>
          <w:lang w:val="en-US"/>
        </w:rPr>
        <w:t xml:space="preserve"> (estimated value A$6.</w:t>
      </w:r>
      <w:r>
        <w:rPr>
          <w:rFonts w:eastAsiaTheme="minorEastAsia"/>
          <w:lang w:val="en-US"/>
        </w:rPr>
        <w:t>6</w:t>
      </w:r>
      <w:r w:rsidR="0023629A">
        <w:rPr>
          <w:rFonts w:eastAsiaTheme="minorEastAsia"/>
          <w:lang w:val="en-US"/>
        </w:rPr>
        <w:t> billion</w:t>
      </w:r>
      <w:r w:rsidRPr="1809C9FA">
        <w:rPr>
          <w:rFonts w:eastAsiaTheme="minorEastAsia"/>
          <w:lang w:val="en-US"/>
        </w:rPr>
        <w:t xml:space="preserve"> as at </w:t>
      </w:r>
      <w:r w:rsidR="00A50DBE">
        <w:rPr>
          <w:rFonts w:eastAsiaTheme="minorEastAsia"/>
          <w:lang w:val="en-US"/>
        </w:rPr>
        <w:t>1</w:t>
      </w:r>
      <w:r>
        <w:rPr>
          <w:rFonts w:eastAsiaTheme="minorEastAsia"/>
          <w:lang w:val="en-US"/>
        </w:rPr>
        <w:t>4</w:t>
      </w:r>
      <w:r w:rsidR="00D9795C">
        <w:rPr>
          <w:rFonts w:eastAsiaTheme="minorEastAsia"/>
          <w:lang w:val="en-US"/>
        </w:rPr>
        <w:t> March </w:t>
      </w:r>
      <w:r>
        <w:rPr>
          <w:rFonts w:eastAsiaTheme="minorEastAsia"/>
          <w:lang w:val="en-US"/>
        </w:rPr>
        <w:t>2024</w:t>
      </w:r>
      <w:r w:rsidRPr="1809C9FA">
        <w:rPr>
          <w:rFonts w:eastAsiaTheme="minorEastAsia"/>
          <w:lang w:val="en-US"/>
        </w:rPr>
        <w:t>).</w:t>
      </w:r>
    </w:p>
    <w:p w14:paraId="3D874F40" w14:textId="06B4CC97" w:rsidR="002873A5" w:rsidRPr="00FE7B65" w:rsidRDefault="002873A5" w:rsidP="008D5E38">
      <w:pPr>
        <w:rPr>
          <w:rFonts w:eastAsiaTheme="minorEastAsia"/>
        </w:rPr>
      </w:pPr>
      <w:r w:rsidRPr="1809C9FA">
        <w:rPr>
          <w:rFonts w:eastAsiaTheme="minorEastAsia"/>
          <w:lang w:val="en-US"/>
        </w:rPr>
        <w:t>The Australian Government has an uncalled capital subscription in the European Bank for</w:t>
      </w:r>
      <w:r w:rsidR="00FE7B65">
        <w:rPr>
          <w:rFonts w:eastAsiaTheme="minorEastAsia"/>
          <w:lang w:val="en-US"/>
        </w:rPr>
        <w:t> </w:t>
      </w:r>
      <w:r w:rsidRPr="1809C9FA">
        <w:rPr>
          <w:rFonts w:eastAsiaTheme="minorEastAsia"/>
          <w:lang w:val="en-US"/>
        </w:rPr>
        <w:t>Reconstruction and Development (EBRD) since 1991. Australia</w:t>
      </w:r>
      <w:r w:rsidR="00D737F9">
        <w:rPr>
          <w:rFonts w:eastAsiaTheme="minorEastAsia"/>
          <w:lang w:val="en-US"/>
        </w:rPr>
        <w:t>’</w:t>
      </w:r>
      <w:r w:rsidRPr="1809C9FA">
        <w:rPr>
          <w:rFonts w:eastAsiaTheme="minorEastAsia"/>
          <w:lang w:val="en-US"/>
        </w:rPr>
        <w:t>s uncalled capital subscription to the EBRD totals around EUR237.5</w:t>
      </w:r>
      <w:r w:rsidR="00FE76E7">
        <w:rPr>
          <w:rFonts w:eastAsiaTheme="minorEastAsia"/>
          <w:lang w:val="en-US"/>
        </w:rPr>
        <w:t> </w:t>
      </w:r>
      <w:r w:rsidRPr="1809C9FA">
        <w:rPr>
          <w:rFonts w:eastAsiaTheme="minorEastAsia"/>
          <w:lang w:val="en-US"/>
        </w:rPr>
        <w:t>million (estimated value A$396.</w:t>
      </w:r>
      <w:r w:rsidR="00720AAB">
        <w:rPr>
          <w:rFonts w:eastAsiaTheme="minorEastAsia"/>
          <w:lang w:val="en-US"/>
        </w:rPr>
        <w:t>9</w:t>
      </w:r>
      <w:r w:rsidR="0023629A">
        <w:rPr>
          <w:rFonts w:eastAsiaTheme="minorEastAsia"/>
          <w:lang w:val="en-US"/>
        </w:rPr>
        <w:t> </w:t>
      </w:r>
      <w:r w:rsidRPr="1809C9FA">
        <w:rPr>
          <w:rFonts w:eastAsiaTheme="minorEastAsia"/>
          <w:lang w:val="en-US"/>
        </w:rPr>
        <w:t xml:space="preserve">million as at </w:t>
      </w:r>
      <w:r w:rsidR="00A50DBE">
        <w:rPr>
          <w:rFonts w:eastAsiaTheme="minorEastAsia"/>
          <w:lang w:val="en-US"/>
        </w:rPr>
        <w:t>1</w:t>
      </w:r>
      <w:r>
        <w:rPr>
          <w:rFonts w:eastAsiaTheme="minorEastAsia"/>
          <w:lang w:val="en-US"/>
        </w:rPr>
        <w:t>4</w:t>
      </w:r>
      <w:r w:rsidR="00D9795C">
        <w:rPr>
          <w:rFonts w:eastAsiaTheme="minorEastAsia"/>
          <w:lang w:val="en-US"/>
        </w:rPr>
        <w:t> March </w:t>
      </w:r>
      <w:r>
        <w:rPr>
          <w:rFonts w:eastAsiaTheme="minorEastAsia"/>
          <w:lang w:val="en-US"/>
        </w:rPr>
        <w:t>2024</w:t>
      </w:r>
      <w:r w:rsidRPr="1809C9FA">
        <w:rPr>
          <w:rFonts w:eastAsiaTheme="minorEastAsia"/>
          <w:lang w:val="en-US"/>
        </w:rPr>
        <w:t>).</w:t>
      </w:r>
    </w:p>
    <w:p w14:paraId="0AF81CE6" w14:textId="286199C4" w:rsidR="002873A5" w:rsidRPr="008D5E38" w:rsidRDefault="002873A5" w:rsidP="008D5E38">
      <w:pPr>
        <w:rPr>
          <w:rFonts w:eastAsiaTheme="minorEastAsia"/>
        </w:rPr>
      </w:pPr>
      <w:r w:rsidRPr="1809C9FA">
        <w:rPr>
          <w:rFonts w:eastAsiaTheme="minorEastAsia"/>
          <w:lang w:val="en-US"/>
        </w:rPr>
        <w:t>The Australian Government has held an uncalled capital subscription in the Asian Development Bank (ADB) since 1966. Australia</w:t>
      </w:r>
      <w:r w:rsidR="00D737F9">
        <w:rPr>
          <w:rFonts w:eastAsiaTheme="minorEastAsia"/>
          <w:lang w:val="en-US"/>
        </w:rPr>
        <w:t>’</w:t>
      </w:r>
      <w:r w:rsidRPr="1809C9FA">
        <w:rPr>
          <w:rFonts w:eastAsiaTheme="minorEastAsia"/>
          <w:lang w:val="en-US"/>
        </w:rPr>
        <w:t>s uncalled capital subscription to the ADB</w:t>
      </w:r>
      <w:r w:rsidR="00FE7B65">
        <w:rPr>
          <w:rFonts w:eastAsiaTheme="minorEastAsia"/>
          <w:lang w:val="en-US"/>
        </w:rPr>
        <w:t> </w:t>
      </w:r>
      <w:r w:rsidRPr="1809C9FA">
        <w:rPr>
          <w:rFonts w:eastAsiaTheme="minorEastAsia"/>
          <w:lang w:val="en-US"/>
        </w:rPr>
        <w:t>totals around US$7.0</w:t>
      </w:r>
      <w:r w:rsidR="0023629A">
        <w:rPr>
          <w:rFonts w:eastAsiaTheme="minorEastAsia"/>
          <w:lang w:val="en-US"/>
        </w:rPr>
        <w:t> billion</w:t>
      </w:r>
      <w:r w:rsidRPr="1809C9FA">
        <w:rPr>
          <w:rFonts w:eastAsiaTheme="minorEastAsia"/>
          <w:lang w:val="en-US"/>
        </w:rPr>
        <w:t xml:space="preserve"> (estimated value A$10.</w:t>
      </w:r>
      <w:r w:rsidR="00720AAB">
        <w:rPr>
          <w:rFonts w:eastAsiaTheme="minorEastAsia"/>
          <w:lang w:val="en-US"/>
        </w:rPr>
        <w:t>6</w:t>
      </w:r>
      <w:r w:rsidR="0023629A">
        <w:rPr>
          <w:rFonts w:eastAsiaTheme="minorEastAsia"/>
          <w:lang w:val="en-US"/>
        </w:rPr>
        <w:t> billion</w:t>
      </w:r>
      <w:r w:rsidRPr="1809C9FA">
        <w:rPr>
          <w:rFonts w:eastAsiaTheme="minorEastAsia"/>
          <w:lang w:val="en-US"/>
        </w:rPr>
        <w:t xml:space="preserve"> as at </w:t>
      </w:r>
      <w:r w:rsidR="00A50DBE">
        <w:rPr>
          <w:rFonts w:eastAsiaTheme="minorEastAsia"/>
          <w:lang w:val="en-US"/>
        </w:rPr>
        <w:t>1</w:t>
      </w:r>
      <w:r>
        <w:rPr>
          <w:rFonts w:eastAsiaTheme="minorEastAsia"/>
          <w:lang w:val="en-US"/>
        </w:rPr>
        <w:t>4</w:t>
      </w:r>
      <w:r w:rsidR="00D9795C">
        <w:rPr>
          <w:rFonts w:eastAsiaTheme="minorEastAsia"/>
          <w:lang w:val="en-US"/>
        </w:rPr>
        <w:t> March </w:t>
      </w:r>
      <w:r>
        <w:rPr>
          <w:rFonts w:eastAsiaTheme="minorEastAsia"/>
          <w:lang w:val="en-US"/>
        </w:rPr>
        <w:t>2024</w:t>
      </w:r>
      <w:r w:rsidRPr="1809C9FA">
        <w:rPr>
          <w:rFonts w:eastAsiaTheme="minorEastAsia"/>
          <w:lang w:val="en-US"/>
        </w:rPr>
        <w:t>).</w:t>
      </w:r>
    </w:p>
    <w:p w14:paraId="6B796471" w14:textId="09F23C3E" w:rsidR="002873A5" w:rsidRPr="00FE7B65" w:rsidRDefault="002873A5" w:rsidP="008D5E38">
      <w:pPr>
        <w:rPr>
          <w:rFonts w:eastAsiaTheme="minorEastAsia"/>
        </w:rPr>
      </w:pPr>
      <w:r w:rsidRPr="1809C9FA">
        <w:rPr>
          <w:rFonts w:eastAsiaTheme="minorEastAsia"/>
          <w:lang w:val="en-US"/>
        </w:rPr>
        <w:t>The Australian Government has an uncalled capital subscription in the Multilateral Investment Guarantee Agency of around US$26.5</w:t>
      </w:r>
      <w:r w:rsidR="00FE76E7">
        <w:rPr>
          <w:rFonts w:eastAsiaTheme="minorEastAsia"/>
          <w:lang w:val="en-US"/>
        </w:rPr>
        <w:t> </w:t>
      </w:r>
      <w:r w:rsidRPr="1809C9FA">
        <w:rPr>
          <w:rFonts w:eastAsiaTheme="minorEastAsia"/>
          <w:lang w:val="en-US"/>
        </w:rPr>
        <w:t>million (estimated value A$40.</w:t>
      </w:r>
      <w:r w:rsidR="00BC7B0D">
        <w:rPr>
          <w:rFonts w:eastAsiaTheme="minorEastAsia"/>
          <w:lang w:val="en-US"/>
        </w:rPr>
        <w:t>0</w:t>
      </w:r>
      <w:r w:rsidR="0023629A">
        <w:rPr>
          <w:rFonts w:eastAsiaTheme="minorEastAsia"/>
          <w:lang w:val="en-US"/>
        </w:rPr>
        <w:t> </w:t>
      </w:r>
      <w:r w:rsidRPr="1809C9FA">
        <w:rPr>
          <w:rFonts w:eastAsiaTheme="minorEastAsia"/>
          <w:lang w:val="en-US"/>
        </w:rPr>
        <w:t xml:space="preserve">million as at </w:t>
      </w:r>
      <w:r w:rsidR="00A50DBE">
        <w:rPr>
          <w:rFonts w:eastAsiaTheme="minorEastAsia"/>
          <w:lang w:val="en-US"/>
        </w:rPr>
        <w:t>1</w:t>
      </w:r>
      <w:r>
        <w:rPr>
          <w:rFonts w:eastAsiaTheme="minorEastAsia"/>
          <w:lang w:val="en-US"/>
        </w:rPr>
        <w:t>4</w:t>
      </w:r>
      <w:r w:rsidR="00D9795C">
        <w:rPr>
          <w:rFonts w:eastAsiaTheme="minorEastAsia"/>
          <w:lang w:val="en-US"/>
        </w:rPr>
        <w:t> March </w:t>
      </w:r>
      <w:r>
        <w:rPr>
          <w:rFonts w:eastAsiaTheme="minorEastAsia"/>
          <w:lang w:val="en-US"/>
        </w:rPr>
        <w:t>2024</w:t>
      </w:r>
      <w:r w:rsidRPr="1809C9FA">
        <w:rPr>
          <w:rFonts w:eastAsiaTheme="minorEastAsia"/>
          <w:lang w:val="en-US"/>
        </w:rPr>
        <w:t>).</w:t>
      </w:r>
    </w:p>
    <w:p w14:paraId="2B0F286E" w14:textId="27856CC4" w:rsidR="002873A5" w:rsidRPr="00FE7B65" w:rsidRDefault="002873A5" w:rsidP="00FE7B65">
      <w:pPr>
        <w:rPr>
          <w:rFonts w:eastAsiaTheme="minorEastAsia"/>
        </w:rPr>
      </w:pPr>
      <w:r w:rsidRPr="1809C9FA">
        <w:rPr>
          <w:rFonts w:eastAsiaTheme="minorEastAsia"/>
          <w:lang w:val="en-US"/>
        </w:rPr>
        <w:t>The Asian Infrastructure Investment Bank (AIIB) was established on 25</w:t>
      </w:r>
      <w:r w:rsidR="00D9795C">
        <w:rPr>
          <w:rFonts w:eastAsiaTheme="minorEastAsia"/>
          <w:lang w:val="en-US"/>
        </w:rPr>
        <w:t> December </w:t>
      </w:r>
      <w:r w:rsidRPr="1809C9FA">
        <w:rPr>
          <w:rFonts w:eastAsiaTheme="minorEastAsia"/>
          <w:lang w:val="en-US"/>
        </w:rPr>
        <w:t>2015. The Australian Government has subscribed to shares in the AIIB, which includes an uncalled capital subscription. Australia</w:t>
      </w:r>
      <w:r w:rsidR="00D737F9">
        <w:rPr>
          <w:rFonts w:eastAsiaTheme="minorEastAsia"/>
          <w:lang w:val="en-US"/>
        </w:rPr>
        <w:t>’</w:t>
      </w:r>
      <w:r w:rsidRPr="1809C9FA">
        <w:rPr>
          <w:rFonts w:eastAsiaTheme="minorEastAsia"/>
          <w:lang w:val="en-US"/>
        </w:rPr>
        <w:t>s uncalled capital subscription to the AIIB totals around US$3.0</w:t>
      </w:r>
      <w:r w:rsidR="0023629A">
        <w:rPr>
          <w:rFonts w:eastAsiaTheme="minorEastAsia"/>
          <w:lang w:val="en-US"/>
        </w:rPr>
        <w:t> billion</w:t>
      </w:r>
      <w:r w:rsidRPr="1809C9FA">
        <w:rPr>
          <w:rFonts w:eastAsiaTheme="minorEastAsia"/>
          <w:lang w:val="en-US"/>
        </w:rPr>
        <w:t xml:space="preserve"> (estimated value A$4.5</w:t>
      </w:r>
      <w:r w:rsidR="0023629A">
        <w:rPr>
          <w:rFonts w:eastAsiaTheme="minorEastAsia"/>
          <w:lang w:val="en-US"/>
        </w:rPr>
        <w:t> billion</w:t>
      </w:r>
      <w:r w:rsidRPr="1809C9FA">
        <w:rPr>
          <w:rFonts w:eastAsiaTheme="minorEastAsia"/>
          <w:lang w:val="en-US"/>
        </w:rPr>
        <w:t xml:space="preserve"> as at </w:t>
      </w:r>
      <w:r w:rsidR="00A50DBE">
        <w:rPr>
          <w:rFonts w:eastAsiaTheme="minorEastAsia"/>
          <w:lang w:val="en-US"/>
        </w:rPr>
        <w:t>1</w:t>
      </w:r>
      <w:r>
        <w:rPr>
          <w:rFonts w:eastAsiaTheme="minorEastAsia"/>
          <w:lang w:val="en-US"/>
        </w:rPr>
        <w:t>4</w:t>
      </w:r>
      <w:r w:rsidR="00D9795C">
        <w:rPr>
          <w:rFonts w:eastAsiaTheme="minorEastAsia"/>
          <w:lang w:val="en-US"/>
        </w:rPr>
        <w:t> March </w:t>
      </w:r>
      <w:r>
        <w:rPr>
          <w:rFonts w:eastAsiaTheme="minorEastAsia"/>
          <w:lang w:val="en-US"/>
        </w:rPr>
        <w:t>2024</w:t>
      </w:r>
      <w:r w:rsidRPr="1809C9FA">
        <w:rPr>
          <w:rFonts w:eastAsiaTheme="minorEastAsia"/>
          <w:lang w:val="en-US"/>
        </w:rPr>
        <w:t>).</w:t>
      </w:r>
    </w:p>
    <w:p w14:paraId="7F8ED4A8" w14:textId="55F50B3C" w:rsidR="002873A5" w:rsidRDefault="002873A5" w:rsidP="001078E4">
      <w:pPr>
        <w:rPr>
          <w:rFonts w:eastAsiaTheme="minorEastAsia"/>
          <w:lang w:val="en-US"/>
        </w:rPr>
      </w:pPr>
      <w:r w:rsidRPr="1809C9FA">
        <w:rPr>
          <w:rFonts w:eastAsiaTheme="minorEastAsia"/>
          <w:lang w:val="en-US"/>
        </w:rPr>
        <w:lastRenderedPageBreak/>
        <w:t>None of these international financial institutions has ever drawn on Australia</w:t>
      </w:r>
      <w:r w:rsidR="00D737F9">
        <w:rPr>
          <w:rFonts w:eastAsiaTheme="minorEastAsia"/>
          <w:lang w:val="en-US"/>
        </w:rPr>
        <w:t>’</w:t>
      </w:r>
      <w:r w:rsidRPr="1809C9FA">
        <w:rPr>
          <w:rFonts w:eastAsiaTheme="minorEastAsia"/>
          <w:lang w:val="en-US"/>
        </w:rPr>
        <w:t>s uncalled capital subscriptions.</w:t>
      </w:r>
    </w:p>
    <w:p w14:paraId="258122ED" w14:textId="77777777" w:rsidR="002873A5" w:rsidRPr="00F83B5C" w:rsidRDefault="002873A5" w:rsidP="001078E4">
      <w:pPr>
        <w:pStyle w:val="Heading4"/>
        <w:rPr>
          <w:rFonts w:ascii="Arial" w:eastAsia="Arial" w:hAnsi="Arial" w:cs="Arial"/>
          <w:bCs/>
          <w:lang w:val="en-US"/>
        </w:rPr>
      </w:pPr>
      <w:r w:rsidRPr="00F83B5C">
        <w:rPr>
          <w:rFonts w:eastAsia="Arial"/>
        </w:rPr>
        <w:t>International Monetary Fund – 16</w:t>
      </w:r>
      <w:r w:rsidRPr="00F83B5C">
        <w:rPr>
          <w:rFonts w:ascii="Arial" w:eastAsia="Arial" w:hAnsi="Arial" w:cs="Arial"/>
          <w:bCs/>
          <w:vertAlign w:val="superscript"/>
          <w:lang w:val="en-US"/>
        </w:rPr>
        <w:t>th</w:t>
      </w:r>
      <w:r w:rsidRPr="00F83B5C">
        <w:rPr>
          <w:rFonts w:ascii="Arial" w:eastAsia="Arial" w:hAnsi="Arial" w:cs="Arial"/>
          <w:bCs/>
          <w:lang w:val="en-US"/>
        </w:rPr>
        <w:t xml:space="preserve"> General Review of Quota</w:t>
      </w:r>
    </w:p>
    <w:p w14:paraId="6625952B" w14:textId="24886E21" w:rsidR="002873A5" w:rsidRPr="00FE7B65" w:rsidRDefault="002873A5" w:rsidP="00FA7C91">
      <w:r w:rsidRPr="00EA4CC2">
        <w:t xml:space="preserve">The Australian Government has agreed to </w:t>
      </w:r>
      <w:r w:rsidRPr="00FE7B65">
        <w:t>approve a 50</w:t>
      </w:r>
      <w:r w:rsidR="00BD3D7E" w:rsidRPr="00FE7B65">
        <w:t> per cent</w:t>
      </w:r>
      <w:r w:rsidRPr="00FE7B65">
        <w:t xml:space="preserve"> increase to the International Monetary Fund (IMF) quota. </w:t>
      </w:r>
      <w:r w:rsidRPr="00FE7B65" w:rsidDel="00017452">
        <w:t>Under the agreement, Australia</w:t>
      </w:r>
      <w:r w:rsidR="00D737F9">
        <w:t>’</w:t>
      </w:r>
      <w:r w:rsidRPr="00FE7B65" w:rsidDel="00017452">
        <w:t xml:space="preserve">s quota will increase from </w:t>
      </w:r>
      <w:r w:rsidRPr="00FE7B65">
        <w:t>Special</w:t>
      </w:r>
      <w:r w:rsidRPr="00FE7B65" w:rsidDel="00017452">
        <w:t xml:space="preserve"> Drawing Rights (SDR)</w:t>
      </w:r>
      <w:r w:rsidRPr="00FE7B65">
        <w:t xml:space="preserve"> </w:t>
      </w:r>
      <w:r w:rsidRPr="00FE7B65" w:rsidDel="00017452">
        <w:t>6.6</w:t>
      </w:r>
      <w:r w:rsidR="0023629A" w:rsidRPr="00FE7B65">
        <w:t> billion</w:t>
      </w:r>
      <w:r w:rsidRPr="00FE7B65" w:rsidDel="00017452">
        <w:t xml:space="preserve"> (approximately A$13.3</w:t>
      </w:r>
      <w:r w:rsidR="0023629A" w:rsidRPr="00FE7B65">
        <w:t> billion</w:t>
      </w:r>
      <w:r w:rsidR="00D82832" w:rsidRPr="00FE7B65">
        <w:t xml:space="preserve"> as at</w:t>
      </w:r>
      <w:r w:rsidR="00FA7C91">
        <w:t> </w:t>
      </w:r>
      <w:r w:rsidR="00D82832" w:rsidRPr="00FE7B65">
        <w:t>14 March</w:t>
      </w:r>
      <w:r w:rsidR="00A924E4" w:rsidRPr="00FE7B65">
        <w:t xml:space="preserve"> 2024</w:t>
      </w:r>
      <w:r w:rsidRPr="00FE7B65" w:rsidDel="00017452">
        <w:t>) to SDR</w:t>
      </w:r>
      <w:r w:rsidRPr="00FE7B65">
        <w:t xml:space="preserve"> </w:t>
      </w:r>
      <w:r w:rsidRPr="00FE7B65" w:rsidDel="00017452">
        <w:t>9.9</w:t>
      </w:r>
      <w:r w:rsidR="0023629A" w:rsidRPr="00FE7B65">
        <w:t> billion</w:t>
      </w:r>
      <w:r w:rsidRPr="00FE7B65" w:rsidDel="00017452">
        <w:t xml:space="preserve"> (approximately A$19.9</w:t>
      </w:r>
      <w:r w:rsidR="0023629A" w:rsidRPr="00FE7B65">
        <w:t> billion</w:t>
      </w:r>
      <w:r w:rsidR="00A924E4" w:rsidRPr="00FE7B65">
        <w:t xml:space="preserve"> as at 14 March 2024</w:t>
      </w:r>
      <w:r w:rsidRPr="00FE7B65" w:rsidDel="00017452">
        <w:t xml:space="preserve">). </w:t>
      </w:r>
      <w:r w:rsidRPr="00FE7B65">
        <w:t>This increase maintains Australia</w:t>
      </w:r>
      <w:r w:rsidR="00D737F9">
        <w:t>’</w:t>
      </w:r>
      <w:r w:rsidRPr="00FE7B65">
        <w:t>s voting power at the IMF and share of any future SDR</w:t>
      </w:r>
      <w:r w:rsidR="00FA7C91">
        <w:t> </w:t>
      </w:r>
      <w:r w:rsidRPr="00FE7B65">
        <w:t>allocation and increases access to fund financing. The timing of the contribution is</w:t>
      </w:r>
      <w:r w:rsidR="00FA7C91">
        <w:t> </w:t>
      </w:r>
      <w:r w:rsidRPr="00FE7B65">
        <w:t>uncertain, it will come into effect no earlier than 15</w:t>
      </w:r>
      <w:r w:rsidR="00D9795C" w:rsidRPr="00FE7B65">
        <w:rPr>
          <w:rFonts w:hint="eastAsia"/>
        </w:rPr>
        <w:t> November </w:t>
      </w:r>
      <w:r w:rsidRPr="00FE7B65">
        <w:t>2024 and is subject to conditions including consent by members representing 85</w:t>
      </w:r>
      <w:r w:rsidR="00BD3D7E" w:rsidRPr="00FE7B65">
        <w:t> per cent</w:t>
      </w:r>
      <w:r w:rsidRPr="00FE7B65">
        <w:t xml:space="preserve"> of existing quota. </w:t>
      </w:r>
      <w:r w:rsidR="00176A33">
        <w:t>25</w:t>
      </w:r>
      <w:r w:rsidR="00A81FD3" w:rsidRPr="00FE7B65">
        <w:t> </w:t>
      </w:r>
      <w:r w:rsidR="00BD3D7E" w:rsidRPr="00FE7B65">
        <w:t>per cent</w:t>
      </w:r>
      <w:r w:rsidRPr="00FE7B65">
        <w:t xml:space="preserve"> of the increase, SDR 821.55</w:t>
      </w:r>
      <w:r w:rsidR="0023629A" w:rsidRPr="00FE7B65">
        <w:t> </w:t>
      </w:r>
      <w:r w:rsidRPr="00FE7B65">
        <w:t>million (approximately A$1.</w:t>
      </w:r>
      <w:r w:rsidR="006C3A50" w:rsidRPr="00FE7B65">
        <w:t>7</w:t>
      </w:r>
      <w:r w:rsidR="0023629A" w:rsidRPr="00FE7B65">
        <w:t> billion</w:t>
      </w:r>
      <w:r w:rsidR="00583CF7" w:rsidRPr="00FE7B65">
        <w:t xml:space="preserve"> as at</w:t>
      </w:r>
      <w:r w:rsidR="00FA7C91">
        <w:t> </w:t>
      </w:r>
      <w:r w:rsidR="000A2A1E" w:rsidRPr="00FE7B65">
        <w:t>14</w:t>
      </w:r>
      <w:r w:rsidR="00176A33">
        <w:t> </w:t>
      </w:r>
      <w:r w:rsidR="000A2A1E" w:rsidRPr="00FE7B65">
        <w:t>March</w:t>
      </w:r>
      <w:r w:rsidR="00176A33">
        <w:t> </w:t>
      </w:r>
      <w:r w:rsidR="00B61BE6" w:rsidRPr="00FE7B65">
        <w:t>2024</w:t>
      </w:r>
      <w:r w:rsidRPr="00FE7B65">
        <w:t>), will be made in foreign currency (in consultation with the IMF) and the</w:t>
      </w:r>
      <w:r w:rsidR="00176A33">
        <w:t> </w:t>
      </w:r>
      <w:r w:rsidRPr="00FE7B65">
        <w:t>remainder will be covered by Australian dollar denominated promissory notes. If the IMF quota increase is implemented it will be largely offset by reductions in Australia</w:t>
      </w:r>
      <w:r w:rsidR="00D737F9">
        <w:t>’</w:t>
      </w:r>
      <w:r w:rsidRPr="00FE7B65">
        <w:t>s other IMF commitments.</w:t>
      </w:r>
    </w:p>
    <w:p w14:paraId="4AD87FDE" w14:textId="77777777" w:rsidR="002873A5" w:rsidRPr="00DE183C" w:rsidRDefault="002873A5" w:rsidP="001078E4">
      <w:pPr>
        <w:pStyle w:val="Heading4"/>
      </w:pPr>
      <w:r w:rsidRPr="00DE183C">
        <w:t xml:space="preserve">International Monetary Fund </w:t>
      </w:r>
      <w:r>
        <w:rPr>
          <w:rFonts w:hint="eastAsia"/>
        </w:rPr>
        <w:t>–</w:t>
      </w:r>
      <w:r w:rsidRPr="00DE183C">
        <w:t xml:space="preserve"> New Arrangements to Borrow &amp; Bilateral </w:t>
      </w:r>
      <w:r w:rsidRPr="001D7010">
        <w:t>Borrowing</w:t>
      </w:r>
      <w:r w:rsidRPr="00DE183C">
        <w:t xml:space="preserve"> Agreement</w:t>
      </w:r>
    </w:p>
    <w:p w14:paraId="6EAE3B0B" w14:textId="7C6D0B80" w:rsidR="002873A5" w:rsidRPr="00F05021" w:rsidRDefault="002873A5" w:rsidP="00FA7C91">
      <w:r w:rsidRPr="00F05021">
        <w:t>Australia has made a line of credit available to the International Monetary Fund (IMF) under its New Arrangements to Borrow since 1998. This is a contingent loan to help ensure that the IMF has the resources available to maintain stability in the global economy. On</w:t>
      </w:r>
      <w:r w:rsidR="00176A33">
        <w:t> </w:t>
      </w:r>
      <w:r w:rsidRPr="00F05021">
        <w:t>8</w:t>
      </w:r>
      <w:r>
        <w:t> </w:t>
      </w:r>
      <w:r w:rsidRPr="00F05021">
        <w:t>October 2020, the Treasurer advised the IMF that Australia consented to the New</w:t>
      </w:r>
      <w:r w:rsidR="00176A33">
        <w:t> </w:t>
      </w:r>
      <w:r w:rsidRPr="00F05021">
        <w:t>Arrangements to Borrow decision and, on 26</w:t>
      </w:r>
      <w:r w:rsidR="00D9795C">
        <w:t> January </w:t>
      </w:r>
      <w:r w:rsidRPr="00F05021">
        <w:t>2020, the IMF Executive Board approved amendments to the New Arrangements to Borrow decision, including increasing the credit arrangements of all participants and extending the arrangement from 1</w:t>
      </w:r>
      <w:r w:rsidR="00D9795C">
        <w:t> January </w:t>
      </w:r>
      <w:r w:rsidRPr="00F05021">
        <w:t>2021 to 31</w:t>
      </w:r>
      <w:r w:rsidR="00D9795C">
        <w:t> December </w:t>
      </w:r>
      <w:r w:rsidRPr="00F05021">
        <w:t>2025. The value of Australia</w:t>
      </w:r>
      <w:r w:rsidR="00D737F9">
        <w:t>’</w:t>
      </w:r>
      <w:r w:rsidRPr="00F05021">
        <w:t>s New Arrangements to Borrow credit arrangement stands at around</w:t>
      </w:r>
      <w:r>
        <w:t xml:space="preserve"> Special Drawing Rights</w:t>
      </w:r>
      <w:r w:rsidRPr="00F05021">
        <w:t xml:space="preserve"> </w:t>
      </w:r>
      <w:r>
        <w:t>(SDR) </w:t>
      </w:r>
      <w:r w:rsidRPr="00F05021">
        <w:t>4.4</w:t>
      </w:r>
      <w:r w:rsidR="0023629A">
        <w:t> billion</w:t>
      </w:r>
      <w:r w:rsidRPr="00F05021">
        <w:t xml:space="preserve"> (estimated value A$9.0</w:t>
      </w:r>
      <w:r w:rsidR="0023629A">
        <w:t> billion</w:t>
      </w:r>
      <w:r w:rsidRPr="00F05021">
        <w:t xml:space="preserve"> at 14</w:t>
      </w:r>
      <w:r w:rsidR="00D9795C">
        <w:t> March </w:t>
      </w:r>
      <w:r w:rsidRPr="00F05021">
        <w:t xml:space="preserve">2024). </w:t>
      </w:r>
      <w:r w:rsidRPr="00170685">
        <w:rPr>
          <w:rFonts w:eastAsiaTheme="minorEastAsia"/>
          <w:lang w:val="en-US"/>
        </w:rPr>
        <w:t xml:space="preserve">If </w:t>
      </w:r>
      <w:r>
        <w:rPr>
          <w:rFonts w:eastAsiaTheme="minorEastAsia"/>
          <w:lang w:val="en-US"/>
        </w:rPr>
        <w:t xml:space="preserve">the </w:t>
      </w:r>
      <w:r w:rsidRPr="00170685">
        <w:rPr>
          <w:rFonts w:eastAsiaTheme="minorEastAsia"/>
          <w:lang w:val="en-US"/>
        </w:rPr>
        <w:t xml:space="preserve">IMF quota increase </w:t>
      </w:r>
      <w:r>
        <w:rPr>
          <w:rFonts w:eastAsiaTheme="minorEastAsia"/>
          <w:lang w:val="en-US"/>
        </w:rPr>
        <w:t>is</w:t>
      </w:r>
      <w:r w:rsidRPr="00170685">
        <w:rPr>
          <w:rFonts w:eastAsiaTheme="minorEastAsia"/>
          <w:lang w:val="en-US"/>
        </w:rPr>
        <w:t xml:space="preserve"> implemented</w:t>
      </w:r>
      <w:r>
        <w:rPr>
          <w:rFonts w:eastAsiaTheme="minorEastAsia"/>
          <w:lang w:val="en-US"/>
        </w:rPr>
        <w:t>,</w:t>
      </w:r>
      <w:r w:rsidRPr="00170685">
        <w:rPr>
          <w:rFonts w:eastAsiaTheme="minorEastAsia"/>
          <w:lang w:val="en-US"/>
        </w:rPr>
        <w:t xml:space="preserve"> the value of Australia</w:t>
      </w:r>
      <w:r w:rsidR="00D737F9">
        <w:rPr>
          <w:rFonts w:eastAsiaTheme="minorEastAsia"/>
          <w:lang w:val="en-US"/>
        </w:rPr>
        <w:t>’</w:t>
      </w:r>
      <w:r w:rsidRPr="00170685">
        <w:rPr>
          <w:rFonts w:eastAsiaTheme="minorEastAsia"/>
          <w:lang w:val="en-US"/>
        </w:rPr>
        <w:t xml:space="preserve">s NAB contribution will decrease </w:t>
      </w:r>
      <w:r>
        <w:rPr>
          <w:rFonts w:eastAsiaTheme="minorEastAsia"/>
          <w:lang w:val="en-US"/>
        </w:rPr>
        <w:t>by SDR 0.7</w:t>
      </w:r>
      <w:r w:rsidR="0023629A">
        <w:rPr>
          <w:rFonts w:eastAsiaTheme="minorEastAsia"/>
          <w:lang w:val="en-US"/>
        </w:rPr>
        <w:t> billion</w:t>
      </w:r>
      <w:r w:rsidRPr="00170685">
        <w:rPr>
          <w:rFonts w:eastAsiaTheme="minorEastAsia"/>
          <w:lang w:val="en-US"/>
        </w:rPr>
        <w:t xml:space="preserve"> to SDR 3.7</w:t>
      </w:r>
      <w:r w:rsidR="0023629A">
        <w:rPr>
          <w:rFonts w:eastAsiaTheme="minorEastAsia"/>
          <w:lang w:val="en-US"/>
        </w:rPr>
        <w:t> billion</w:t>
      </w:r>
      <w:r w:rsidRPr="00170685">
        <w:rPr>
          <w:rFonts w:eastAsiaTheme="minorEastAsia"/>
          <w:lang w:val="en-US"/>
        </w:rPr>
        <w:t xml:space="preserve"> (approximately A$7.</w:t>
      </w:r>
      <w:r w:rsidR="0053563C">
        <w:rPr>
          <w:rFonts w:eastAsiaTheme="minorEastAsia"/>
          <w:lang w:val="en-US"/>
        </w:rPr>
        <w:t>5</w:t>
      </w:r>
      <w:r w:rsidR="0023629A">
        <w:rPr>
          <w:rFonts w:eastAsiaTheme="minorEastAsia"/>
          <w:lang w:val="en-US"/>
        </w:rPr>
        <w:t> billion</w:t>
      </w:r>
      <w:r w:rsidR="0053563C">
        <w:rPr>
          <w:rFonts w:eastAsiaTheme="minorEastAsia"/>
          <w:lang w:val="en-US"/>
        </w:rPr>
        <w:t xml:space="preserve"> as at 14 March</w:t>
      </w:r>
      <w:r w:rsidR="00B61BE6">
        <w:rPr>
          <w:rFonts w:eastAsiaTheme="minorEastAsia"/>
          <w:lang w:val="en-US"/>
        </w:rPr>
        <w:t xml:space="preserve"> 2024</w:t>
      </w:r>
      <w:r w:rsidRPr="00170685">
        <w:rPr>
          <w:rFonts w:eastAsiaTheme="minorEastAsia"/>
          <w:lang w:val="en-US"/>
        </w:rPr>
        <w:t>).</w:t>
      </w:r>
    </w:p>
    <w:p w14:paraId="2D1BF535" w14:textId="27D58430" w:rsidR="002873A5" w:rsidRPr="00F05021" w:rsidRDefault="002873A5" w:rsidP="00FA7C91">
      <w:r w:rsidRPr="00F05021">
        <w:t>Australia has also made available approximately SDR 2.0</w:t>
      </w:r>
      <w:r w:rsidR="0023629A">
        <w:t> billion</w:t>
      </w:r>
      <w:r w:rsidRPr="00F05021">
        <w:t xml:space="preserve"> (estimated as approximately A$4.</w:t>
      </w:r>
      <w:r w:rsidRPr="00F83B5C">
        <w:t>0</w:t>
      </w:r>
      <w:r w:rsidR="0023629A">
        <w:t> billion</w:t>
      </w:r>
      <w:r w:rsidRPr="00F05021">
        <w:t xml:space="preserve"> at 14</w:t>
      </w:r>
      <w:r w:rsidR="00D9795C">
        <w:t> March </w:t>
      </w:r>
      <w:r w:rsidRPr="00F05021">
        <w:t>2024) through a contingent bilateral loan to the IMF, known as a Bilateral Borrowing Agreement (BBA). This contingent bilateral loan is on</w:t>
      </w:r>
      <w:r w:rsidR="00470A98">
        <w:t> </w:t>
      </w:r>
      <w:r w:rsidRPr="00F05021">
        <w:t>terms consistent with other bilateral loans and note purchase agreements between the IMF and other contributing countries. The contingent bilateral loan will be drawn upon by</w:t>
      </w:r>
      <w:r w:rsidR="00470A98">
        <w:t> </w:t>
      </w:r>
      <w:r w:rsidRPr="00F05021">
        <w:t>the IMF only if needed to supplement the IMF</w:t>
      </w:r>
      <w:r w:rsidR="00D737F9">
        <w:t>’</w:t>
      </w:r>
      <w:r w:rsidRPr="00F05021">
        <w:t>s quota and New Arrangements to Borrow resources, and any drawings on loans would be repaid in full, with interest. On 26</w:t>
      </w:r>
      <w:r w:rsidR="00D9795C">
        <w:t> July </w:t>
      </w:r>
      <w:r w:rsidRPr="00F05021">
        <w:t>2023, Australia agreed to extend the BBA by one year through to 31</w:t>
      </w:r>
      <w:r w:rsidR="00D9795C">
        <w:t> December </w:t>
      </w:r>
      <w:r w:rsidRPr="00F05021">
        <w:t xml:space="preserve">2024. </w:t>
      </w:r>
      <w:r w:rsidRPr="00A633C7">
        <w:rPr>
          <w:rFonts w:eastAsiaTheme="minorEastAsia"/>
          <w:lang w:val="en-US"/>
        </w:rPr>
        <w:t xml:space="preserve">If </w:t>
      </w:r>
      <w:r>
        <w:rPr>
          <w:rFonts w:eastAsiaTheme="minorEastAsia"/>
          <w:lang w:val="en-US"/>
        </w:rPr>
        <w:t xml:space="preserve">the </w:t>
      </w:r>
      <w:r w:rsidRPr="00A633C7">
        <w:rPr>
          <w:rFonts w:eastAsiaTheme="minorEastAsia"/>
          <w:lang w:val="en-US"/>
        </w:rPr>
        <w:t xml:space="preserve">IMF quota </w:t>
      </w:r>
      <w:r>
        <w:rPr>
          <w:rFonts w:eastAsiaTheme="minorEastAsia"/>
          <w:lang w:val="en-US"/>
        </w:rPr>
        <w:t>increase</w:t>
      </w:r>
      <w:r w:rsidRPr="00A633C7">
        <w:rPr>
          <w:rFonts w:eastAsiaTheme="minorEastAsia"/>
          <w:lang w:val="en-US"/>
        </w:rPr>
        <w:t xml:space="preserve"> is implemented in 2024</w:t>
      </w:r>
      <w:r>
        <w:rPr>
          <w:rFonts w:eastAsiaTheme="minorEastAsia"/>
          <w:lang w:val="en-US"/>
        </w:rPr>
        <w:t>,</w:t>
      </w:r>
      <w:r w:rsidRPr="00A633C7">
        <w:rPr>
          <w:rFonts w:eastAsiaTheme="minorEastAsia"/>
          <w:lang w:val="en-US"/>
        </w:rPr>
        <w:t xml:space="preserve"> Australia</w:t>
      </w:r>
      <w:r w:rsidR="00D737F9">
        <w:rPr>
          <w:rFonts w:eastAsiaTheme="minorEastAsia"/>
          <w:lang w:val="en-US"/>
        </w:rPr>
        <w:t>’</w:t>
      </w:r>
      <w:r w:rsidRPr="00A633C7">
        <w:rPr>
          <w:rFonts w:eastAsiaTheme="minorEastAsia"/>
          <w:lang w:val="en-US"/>
        </w:rPr>
        <w:t>s BBA will be allowed to expire. If the implementation of the quota increased is delayed beyond end</w:t>
      </w:r>
      <w:r w:rsidR="00D737F9">
        <w:rPr>
          <w:rFonts w:eastAsiaTheme="minorEastAsia"/>
          <w:lang w:val="en-US"/>
        </w:rPr>
        <w:noBreakHyphen/>
      </w:r>
      <w:r w:rsidRPr="00A633C7">
        <w:rPr>
          <w:rFonts w:eastAsiaTheme="minorEastAsia"/>
          <w:lang w:val="en-US"/>
        </w:rPr>
        <w:t>2024, the IMF may seek to negotiate a transitional BBA with Australia</w:t>
      </w:r>
      <w:r>
        <w:rPr>
          <w:rFonts w:eastAsiaTheme="minorEastAsia"/>
          <w:lang w:val="en-US"/>
        </w:rPr>
        <w:t>.</w:t>
      </w:r>
    </w:p>
    <w:p w14:paraId="249AAE6C" w14:textId="77777777" w:rsidR="002873A5" w:rsidRPr="0009641D" w:rsidRDefault="002873A5" w:rsidP="001078E4">
      <w:pPr>
        <w:pStyle w:val="Heading4"/>
      </w:pPr>
      <w:r w:rsidRPr="00DE183C">
        <w:lastRenderedPageBreak/>
        <w:t xml:space="preserve">International Monetary </w:t>
      </w:r>
      <w:r w:rsidRPr="00E1106B">
        <w:t>Fund</w:t>
      </w:r>
      <w:r w:rsidRPr="00DE183C">
        <w:t xml:space="preserve"> </w:t>
      </w:r>
      <w:r>
        <w:rPr>
          <w:rFonts w:hint="eastAsia"/>
        </w:rPr>
        <w:t>–</w:t>
      </w:r>
      <w:r w:rsidRPr="00DE183C">
        <w:t xml:space="preserve"> Poverty Reduction and Growth Trust</w:t>
      </w:r>
    </w:p>
    <w:p w14:paraId="5D22399A" w14:textId="1C6FF01A" w:rsidR="002873A5" w:rsidRPr="00537F7B" w:rsidRDefault="002873A5" w:rsidP="00537F7B">
      <w:pPr>
        <w:rPr>
          <w:rFonts w:eastAsiaTheme="minorEastAsia"/>
        </w:rPr>
      </w:pPr>
      <w:r w:rsidRPr="1809C9FA">
        <w:rPr>
          <w:rFonts w:eastAsiaTheme="minorEastAsia"/>
          <w:lang w:val="en-US"/>
        </w:rPr>
        <w:t>The Australian Government has entered into agreements to make a line of credit available to the International Monetary Fund (IMF) under the Poverty Reduction and Growth Trust through to 31</w:t>
      </w:r>
      <w:r w:rsidR="00D9795C">
        <w:rPr>
          <w:rFonts w:eastAsiaTheme="minorEastAsia"/>
          <w:lang w:val="en-US"/>
        </w:rPr>
        <w:t> December </w:t>
      </w:r>
      <w:r w:rsidRPr="1809C9FA">
        <w:rPr>
          <w:rFonts w:eastAsiaTheme="minorEastAsia"/>
          <w:lang w:val="en-US"/>
        </w:rPr>
        <w:t>2029. The Poverty Reduction and Growth Trust provides concessional financial support to low</w:t>
      </w:r>
      <w:r w:rsidR="00D737F9">
        <w:rPr>
          <w:rFonts w:eastAsiaTheme="minorEastAsia"/>
          <w:lang w:val="en-US"/>
        </w:rPr>
        <w:noBreakHyphen/>
      </w:r>
      <w:r w:rsidRPr="1809C9FA">
        <w:rPr>
          <w:rFonts w:eastAsiaTheme="minorEastAsia"/>
          <w:lang w:val="en-US"/>
        </w:rPr>
        <w:t>income countries to help them achieve, maintain, or restore a stable and sustainable macroeconomic position. Poverty Reduction and Growth Trust funds are drawn upon by the IMF as needed and will be repaid in full, with interest.</w:t>
      </w:r>
    </w:p>
    <w:p w14:paraId="0508B705" w14:textId="57C2005B" w:rsidR="002873A5" w:rsidRPr="00326BDE" w:rsidRDefault="002873A5" w:rsidP="00537F7B">
      <w:pPr>
        <w:rPr>
          <w:rFonts w:eastAsiaTheme="minorEastAsia"/>
          <w:lang w:val="en-US"/>
        </w:rPr>
      </w:pPr>
      <w:bookmarkStart w:id="205" w:name="_Hlk161752587"/>
      <w:r w:rsidRPr="1809C9FA">
        <w:rPr>
          <w:rFonts w:eastAsiaTheme="minorEastAsia"/>
          <w:lang w:val="en-US"/>
        </w:rPr>
        <w:t xml:space="preserve">Through these agreements, the Government has made available </w:t>
      </w:r>
      <w:r>
        <w:rPr>
          <w:rFonts w:eastAsiaTheme="minorEastAsia"/>
          <w:lang w:val="en-US"/>
        </w:rPr>
        <w:t>Special Drawing Rights (</w:t>
      </w:r>
      <w:r w:rsidRPr="1809C9FA">
        <w:rPr>
          <w:rFonts w:eastAsiaTheme="minorEastAsia"/>
          <w:lang w:val="en-US"/>
        </w:rPr>
        <w:t>SDR</w:t>
      </w:r>
      <w:r>
        <w:rPr>
          <w:rFonts w:eastAsiaTheme="minorEastAsia"/>
          <w:lang w:val="en-US"/>
        </w:rPr>
        <w:t>)</w:t>
      </w:r>
      <w:r w:rsidRPr="1809C9FA">
        <w:rPr>
          <w:rFonts w:eastAsiaTheme="minorEastAsia"/>
          <w:lang w:val="en-US"/>
        </w:rPr>
        <w:t xml:space="preserve"> 1</w:t>
      </w:r>
      <w:r w:rsidR="0023629A">
        <w:rPr>
          <w:rFonts w:eastAsiaTheme="minorEastAsia"/>
          <w:lang w:val="en-US"/>
        </w:rPr>
        <w:t> billion</w:t>
      </w:r>
      <w:r w:rsidRPr="1809C9FA">
        <w:rPr>
          <w:rFonts w:eastAsiaTheme="minorEastAsia"/>
          <w:lang w:val="en-US"/>
        </w:rPr>
        <w:t xml:space="preserve"> (approximately </w:t>
      </w:r>
      <w:r w:rsidRPr="00963C4F">
        <w:rPr>
          <w:rFonts w:eastAsiaTheme="minorEastAsia"/>
          <w:lang w:val="en-US"/>
        </w:rPr>
        <w:t>A$2.</w:t>
      </w:r>
      <w:r w:rsidRPr="00F83B5C">
        <w:rPr>
          <w:rFonts w:eastAsiaTheme="minorEastAsia"/>
          <w:lang w:val="en-US"/>
        </w:rPr>
        <w:t>0</w:t>
      </w:r>
      <w:r w:rsidR="0023629A">
        <w:rPr>
          <w:rFonts w:eastAsiaTheme="minorEastAsia"/>
          <w:lang w:val="en-US"/>
        </w:rPr>
        <w:t> billion</w:t>
      </w:r>
      <w:r w:rsidRPr="00963C4F">
        <w:rPr>
          <w:rFonts w:eastAsiaTheme="minorEastAsia"/>
          <w:lang w:val="en-US"/>
        </w:rPr>
        <w:t xml:space="preserve"> as at 14</w:t>
      </w:r>
      <w:r w:rsidR="00D9795C">
        <w:rPr>
          <w:rFonts w:eastAsiaTheme="minorEastAsia"/>
          <w:lang w:val="en-US"/>
        </w:rPr>
        <w:t> March </w:t>
      </w:r>
      <w:r w:rsidRPr="00963C4F">
        <w:rPr>
          <w:rFonts w:eastAsiaTheme="minorEastAsia"/>
          <w:lang w:val="en-US"/>
        </w:rPr>
        <w:t>202</w:t>
      </w:r>
      <w:r>
        <w:rPr>
          <w:rFonts w:eastAsiaTheme="minorEastAsia"/>
          <w:lang w:val="en-US"/>
        </w:rPr>
        <w:t>4</w:t>
      </w:r>
      <w:r w:rsidRPr="00963C4F">
        <w:rPr>
          <w:rFonts w:eastAsiaTheme="minorEastAsia"/>
          <w:lang w:val="en-US"/>
        </w:rPr>
        <w:t>) to loan to the IMF under the Poverty Reduction and Growth Trust. As at 30</w:t>
      </w:r>
      <w:r w:rsidR="0023629A">
        <w:rPr>
          <w:rFonts w:eastAsiaTheme="minorEastAsia"/>
          <w:lang w:val="en-US"/>
        </w:rPr>
        <w:t> June </w:t>
      </w:r>
      <w:r w:rsidRPr="00963C4F">
        <w:rPr>
          <w:rFonts w:eastAsiaTheme="minorEastAsia"/>
          <w:lang w:val="en-US"/>
        </w:rPr>
        <w:t>2024, SDR 257.0</w:t>
      </w:r>
      <w:r w:rsidR="0023629A">
        <w:rPr>
          <w:rFonts w:eastAsiaTheme="minorEastAsia"/>
          <w:lang w:val="en-US"/>
        </w:rPr>
        <w:t> </w:t>
      </w:r>
      <w:r w:rsidRPr="00963C4F">
        <w:rPr>
          <w:rFonts w:eastAsiaTheme="minorEastAsia"/>
          <w:lang w:val="en-US"/>
        </w:rPr>
        <w:t>million (approximately A$</w:t>
      </w:r>
      <w:r w:rsidRPr="00F83B5C">
        <w:rPr>
          <w:rFonts w:eastAsiaTheme="minorEastAsia"/>
          <w:lang w:val="en-US"/>
        </w:rPr>
        <w:t>518</w:t>
      </w:r>
      <w:r w:rsidRPr="00963C4F">
        <w:rPr>
          <w:rFonts w:eastAsiaTheme="minorEastAsia"/>
          <w:lang w:val="en-US"/>
        </w:rPr>
        <w:t>.6 million) has been drawn down, leaving</w:t>
      </w:r>
      <w:r>
        <w:rPr>
          <w:rFonts w:eastAsiaTheme="minorEastAsia"/>
          <w:lang w:val="en-US"/>
        </w:rPr>
        <w:t xml:space="preserve"> </w:t>
      </w:r>
      <w:r w:rsidRPr="00963C4F">
        <w:rPr>
          <w:rFonts w:eastAsiaTheme="minorEastAsia"/>
          <w:lang w:val="en-US"/>
        </w:rPr>
        <w:t>SDR 743.01</w:t>
      </w:r>
      <w:r w:rsidR="0023629A">
        <w:rPr>
          <w:rFonts w:eastAsiaTheme="minorEastAsia"/>
          <w:lang w:val="en-US"/>
        </w:rPr>
        <w:t> </w:t>
      </w:r>
      <w:r w:rsidRPr="00963C4F">
        <w:rPr>
          <w:rFonts w:eastAsiaTheme="minorEastAsia"/>
          <w:lang w:val="en-US"/>
        </w:rPr>
        <w:t>million (approximately A$1.</w:t>
      </w:r>
      <w:r w:rsidRPr="000826F7">
        <w:rPr>
          <w:rFonts w:eastAsiaTheme="minorEastAsia"/>
          <w:lang w:val="en-US"/>
        </w:rPr>
        <w:t>5</w:t>
      </w:r>
      <w:r w:rsidR="0023629A">
        <w:rPr>
          <w:rFonts w:eastAsiaTheme="minorEastAsia"/>
          <w:lang w:val="en-US"/>
        </w:rPr>
        <w:t> billion</w:t>
      </w:r>
      <w:r w:rsidRPr="00963C4F">
        <w:rPr>
          <w:rFonts w:eastAsiaTheme="minorEastAsia"/>
          <w:lang w:val="en-US"/>
        </w:rPr>
        <w:t>)</w:t>
      </w:r>
      <w:r w:rsidRPr="1809C9FA">
        <w:rPr>
          <w:rFonts w:eastAsiaTheme="minorEastAsia"/>
          <w:lang w:val="en-US"/>
        </w:rPr>
        <w:t xml:space="preserve"> available to the IMF under the Poverty Reduction and Growth Trust</w:t>
      </w:r>
      <w:bookmarkEnd w:id="205"/>
      <w:r>
        <w:rPr>
          <w:rFonts w:eastAsiaTheme="minorEastAsia"/>
          <w:lang w:val="en-US"/>
        </w:rPr>
        <w:t>.</w:t>
      </w:r>
    </w:p>
    <w:p w14:paraId="3A61E7C6" w14:textId="77777777" w:rsidR="002873A5" w:rsidRPr="00DE183C" w:rsidRDefault="002873A5" w:rsidP="001078E4">
      <w:pPr>
        <w:pStyle w:val="Heading4"/>
      </w:pPr>
      <w:r w:rsidRPr="00E1106B">
        <w:t>International</w:t>
      </w:r>
      <w:r w:rsidRPr="00DE183C">
        <w:t xml:space="preserve"> Monetary Fund</w:t>
      </w:r>
      <w:r>
        <w:t xml:space="preserve"> </w:t>
      </w:r>
      <w:r>
        <w:rPr>
          <w:rFonts w:hint="eastAsia"/>
        </w:rPr>
        <w:t>–</w:t>
      </w:r>
      <w:r w:rsidRPr="00DE183C">
        <w:t xml:space="preserve"> Resilience and Sustainability Trust</w:t>
      </w:r>
    </w:p>
    <w:p w14:paraId="5905702B" w14:textId="71A3B755" w:rsidR="002873A5" w:rsidRDefault="002873A5" w:rsidP="00537F7B">
      <w:pPr>
        <w:rPr>
          <w:rFonts w:eastAsiaTheme="minorEastAsia"/>
          <w:lang w:val="en-US"/>
        </w:rPr>
      </w:pPr>
      <w:r w:rsidRPr="1809C9FA">
        <w:rPr>
          <w:rFonts w:eastAsiaTheme="minorEastAsia"/>
          <w:lang w:val="en-US"/>
        </w:rPr>
        <w:t xml:space="preserve">On 11 October 2022, the Australian Government entered into an agreement to make a line of credit of </w:t>
      </w:r>
      <w:r>
        <w:rPr>
          <w:rFonts w:eastAsiaTheme="minorEastAsia"/>
          <w:lang w:val="en-US"/>
        </w:rPr>
        <w:t>Special Drawing Rights (</w:t>
      </w:r>
      <w:r w:rsidRPr="1809C9FA">
        <w:rPr>
          <w:rFonts w:eastAsiaTheme="minorEastAsia"/>
          <w:lang w:val="en-US"/>
        </w:rPr>
        <w:t>SDR</w:t>
      </w:r>
      <w:r>
        <w:rPr>
          <w:rFonts w:eastAsiaTheme="minorEastAsia"/>
          <w:lang w:val="en-US"/>
        </w:rPr>
        <w:t>)</w:t>
      </w:r>
      <w:r w:rsidRPr="1809C9FA">
        <w:rPr>
          <w:rFonts w:eastAsiaTheme="minorEastAsia"/>
          <w:lang w:val="en-US"/>
        </w:rPr>
        <w:t xml:space="preserve"> 760 million (approximately A</w:t>
      </w:r>
      <w:r w:rsidRPr="00B32EFB">
        <w:rPr>
          <w:rFonts w:eastAsiaTheme="minorEastAsia"/>
          <w:lang w:val="en-US"/>
        </w:rPr>
        <w:t>$</w:t>
      </w:r>
      <w:r w:rsidRPr="00963C4F">
        <w:rPr>
          <w:rFonts w:eastAsiaTheme="minorEastAsia"/>
          <w:lang w:val="en-US"/>
        </w:rPr>
        <w:t>1.</w:t>
      </w:r>
      <w:r w:rsidRPr="000826F7">
        <w:rPr>
          <w:rFonts w:eastAsiaTheme="minorEastAsia"/>
          <w:lang w:val="en-US"/>
        </w:rPr>
        <w:t>5</w:t>
      </w:r>
      <w:r w:rsidR="0023629A">
        <w:rPr>
          <w:rFonts w:eastAsiaTheme="minorEastAsia"/>
          <w:lang w:val="en-US"/>
        </w:rPr>
        <w:t> billion</w:t>
      </w:r>
      <w:r w:rsidRPr="1809C9FA">
        <w:rPr>
          <w:rFonts w:eastAsiaTheme="minorEastAsia"/>
          <w:lang w:val="en-US"/>
        </w:rPr>
        <w:t xml:space="preserve"> as at </w:t>
      </w:r>
      <w:r>
        <w:rPr>
          <w:rFonts w:eastAsiaTheme="minorEastAsia"/>
          <w:lang w:val="en-US"/>
        </w:rPr>
        <w:t>14</w:t>
      </w:r>
      <w:r w:rsidR="00D9795C">
        <w:rPr>
          <w:rFonts w:eastAsiaTheme="minorEastAsia"/>
          <w:lang w:val="en-US"/>
        </w:rPr>
        <w:t> March </w:t>
      </w:r>
      <w:r>
        <w:rPr>
          <w:rFonts w:eastAsiaTheme="minorEastAsia"/>
          <w:lang w:val="en-US"/>
        </w:rPr>
        <w:t>2024</w:t>
      </w:r>
      <w:r w:rsidRPr="1809C9FA">
        <w:rPr>
          <w:rFonts w:eastAsiaTheme="minorEastAsia"/>
          <w:lang w:val="en-US"/>
        </w:rPr>
        <w:t>) available to the IMF under the Resilience and Sustainability Trust through to 30</w:t>
      </w:r>
      <w:r w:rsidR="00CB05B6">
        <w:rPr>
          <w:rFonts w:eastAsiaTheme="minorEastAsia"/>
          <w:lang w:val="en-US"/>
        </w:rPr>
        <w:t> </w:t>
      </w:r>
      <w:r w:rsidRPr="1809C9FA">
        <w:rPr>
          <w:rFonts w:eastAsiaTheme="minorEastAsia"/>
          <w:lang w:val="en-US"/>
        </w:rPr>
        <w:t>November</w:t>
      </w:r>
      <w:r w:rsidR="00CB05B6">
        <w:rPr>
          <w:rFonts w:eastAsiaTheme="minorEastAsia"/>
          <w:lang w:val="en-US"/>
        </w:rPr>
        <w:t> </w:t>
      </w:r>
      <w:r w:rsidRPr="1809C9FA">
        <w:rPr>
          <w:rFonts w:eastAsiaTheme="minorEastAsia"/>
          <w:lang w:val="en-US"/>
        </w:rPr>
        <w:t>2030. The Resilience and Sustainability Trust will provide affordable long</w:t>
      </w:r>
      <w:r w:rsidR="00D737F9">
        <w:rPr>
          <w:rFonts w:eastAsiaTheme="minorEastAsia"/>
          <w:lang w:val="en-US"/>
        </w:rPr>
        <w:noBreakHyphen/>
      </w:r>
      <w:r w:rsidRPr="1809C9FA">
        <w:rPr>
          <w:rFonts w:eastAsiaTheme="minorEastAsia"/>
          <w:lang w:val="en-US"/>
        </w:rPr>
        <w:t>term financing to help vulnerable countries build resilience and sustainability to address the risks stemming from climate change and pandemic preparedness. Resilience and Sustainability Trust line of credit funds are drawn upon by the IMF as needed and will</w:t>
      </w:r>
      <w:r w:rsidR="00537F7B">
        <w:rPr>
          <w:rFonts w:eastAsiaTheme="minorEastAsia"/>
          <w:lang w:val="en-US"/>
        </w:rPr>
        <w:t> </w:t>
      </w:r>
      <w:r w:rsidRPr="1809C9FA">
        <w:rPr>
          <w:rFonts w:eastAsiaTheme="minorEastAsia"/>
          <w:lang w:val="en-US"/>
        </w:rPr>
        <w:t>be repaid in full</w:t>
      </w:r>
      <w:r>
        <w:rPr>
          <w:rFonts w:eastAsiaTheme="minorEastAsia"/>
          <w:lang w:val="en-US"/>
        </w:rPr>
        <w:t>,</w:t>
      </w:r>
      <w:r w:rsidRPr="1809C9FA">
        <w:rPr>
          <w:rFonts w:eastAsiaTheme="minorEastAsia"/>
          <w:lang w:val="en-US"/>
        </w:rPr>
        <w:t xml:space="preserve"> with interest. As at 30</w:t>
      </w:r>
      <w:r w:rsidR="0023629A">
        <w:rPr>
          <w:rFonts w:eastAsiaTheme="minorEastAsia"/>
          <w:lang w:val="en-US"/>
        </w:rPr>
        <w:t> June </w:t>
      </w:r>
      <w:r w:rsidRPr="1809C9FA">
        <w:rPr>
          <w:rFonts w:eastAsiaTheme="minorEastAsia"/>
          <w:lang w:val="en-US"/>
        </w:rPr>
        <w:t>202</w:t>
      </w:r>
      <w:r>
        <w:rPr>
          <w:rFonts w:eastAsiaTheme="minorEastAsia"/>
          <w:lang w:val="en-US"/>
        </w:rPr>
        <w:t>4,</w:t>
      </w:r>
      <w:r w:rsidRPr="1809C9FA">
        <w:rPr>
          <w:rFonts w:eastAsiaTheme="minorEastAsia"/>
          <w:lang w:val="en-US"/>
        </w:rPr>
        <w:t xml:space="preserve"> SDR 14.2</w:t>
      </w:r>
      <w:r w:rsidR="0023629A">
        <w:rPr>
          <w:rFonts w:eastAsiaTheme="minorEastAsia"/>
          <w:lang w:val="en-US"/>
        </w:rPr>
        <w:t> </w:t>
      </w:r>
      <w:r w:rsidRPr="1809C9FA">
        <w:rPr>
          <w:rFonts w:eastAsiaTheme="minorEastAsia"/>
          <w:lang w:val="en-US"/>
        </w:rPr>
        <w:t>million (approximately A</w:t>
      </w:r>
      <w:r w:rsidRPr="00231EC9">
        <w:rPr>
          <w:rFonts w:eastAsiaTheme="minorEastAsia"/>
          <w:lang w:val="en-US"/>
        </w:rPr>
        <w:t>$28.</w:t>
      </w:r>
      <w:r w:rsidR="0003424F">
        <w:rPr>
          <w:rFonts w:eastAsiaTheme="minorEastAsia"/>
          <w:lang w:val="en-US"/>
        </w:rPr>
        <w:t>6</w:t>
      </w:r>
      <w:r w:rsidR="00CB05B6">
        <w:rPr>
          <w:rFonts w:eastAsiaTheme="minorEastAsia"/>
          <w:lang w:val="en-US"/>
        </w:rPr>
        <w:t> </w:t>
      </w:r>
      <w:r w:rsidRPr="00231EC9">
        <w:rPr>
          <w:rFonts w:eastAsiaTheme="minorEastAsia"/>
          <w:lang w:val="en-US"/>
        </w:rPr>
        <w:t>million</w:t>
      </w:r>
      <w:r w:rsidR="0003424F">
        <w:rPr>
          <w:rFonts w:eastAsiaTheme="minorEastAsia"/>
          <w:lang w:val="en-US"/>
        </w:rPr>
        <w:t xml:space="preserve"> as at 14 March</w:t>
      </w:r>
      <w:r w:rsidR="00B61BE6">
        <w:rPr>
          <w:rFonts w:eastAsiaTheme="minorEastAsia"/>
          <w:lang w:val="en-US"/>
        </w:rPr>
        <w:t xml:space="preserve"> 2024</w:t>
      </w:r>
      <w:r w:rsidRPr="00231EC9">
        <w:rPr>
          <w:rFonts w:eastAsiaTheme="minorEastAsia"/>
          <w:lang w:val="en-US"/>
        </w:rPr>
        <w:t>) has been drawn down, leaving SDR 745.8</w:t>
      </w:r>
      <w:r w:rsidR="0023629A">
        <w:rPr>
          <w:rFonts w:eastAsiaTheme="minorEastAsia"/>
          <w:lang w:val="en-US"/>
        </w:rPr>
        <w:t> </w:t>
      </w:r>
      <w:r w:rsidRPr="00231EC9">
        <w:rPr>
          <w:rFonts w:eastAsiaTheme="minorEastAsia"/>
          <w:lang w:val="en-US"/>
        </w:rPr>
        <w:t>million (approximately A$1.5</w:t>
      </w:r>
      <w:r w:rsidR="0023629A">
        <w:rPr>
          <w:rFonts w:eastAsiaTheme="minorEastAsia"/>
          <w:lang w:val="en-US"/>
        </w:rPr>
        <w:t> billion</w:t>
      </w:r>
      <w:r w:rsidR="00282BB6">
        <w:rPr>
          <w:rFonts w:eastAsiaTheme="minorEastAsia"/>
          <w:lang w:val="en-US"/>
        </w:rPr>
        <w:t xml:space="preserve"> as at 14 March</w:t>
      </w:r>
      <w:r w:rsidR="00B61BE6">
        <w:rPr>
          <w:rFonts w:eastAsiaTheme="minorEastAsia"/>
          <w:lang w:val="en-US"/>
        </w:rPr>
        <w:t xml:space="preserve"> 2024</w:t>
      </w:r>
      <w:r w:rsidRPr="00231EC9">
        <w:rPr>
          <w:rFonts w:eastAsiaTheme="minorEastAsia"/>
          <w:lang w:val="en-US"/>
        </w:rPr>
        <w:t>) available</w:t>
      </w:r>
      <w:r w:rsidRPr="1809C9FA">
        <w:rPr>
          <w:rFonts w:eastAsiaTheme="minorEastAsia"/>
          <w:lang w:val="en-US"/>
        </w:rPr>
        <w:t xml:space="preserve"> to the IMF under the Resilience and Sustainability Trust.</w:t>
      </w:r>
    </w:p>
    <w:p w14:paraId="26182112" w14:textId="77777777" w:rsidR="002873A5" w:rsidRPr="00B832E0" w:rsidRDefault="002873A5" w:rsidP="00537F7B">
      <w:pPr>
        <w:rPr>
          <w:rFonts w:eastAsia="Book Antiqua"/>
        </w:rPr>
      </w:pPr>
      <w:r w:rsidRPr="00B832E0">
        <w:rPr>
          <w:rFonts w:eastAsia="Book Antiqua"/>
        </w:rPr>
        <w:br w:type="page"/>
      </w:r>
    </w:p>
    <w:p w14:paraId="0BB44A3E" w14:textId="061D3CD0" w:rsidR="009D70F5" w:rsidRPr="00B832E0" w:rsidRDefault="009D70F5" w:rsidP="001078E4">
      <w:pPr>
        <w:pStyle w:val="Heading2"/>
        <w:rPr>
          <w:rFonts w:eastAsia="Arial"/>
        </w:rPr>
      </w:pPr>
      <w:bookmarkStart w:id="206" w:name="_Toc166165537"/>
      <w:r w:rsidRPr="00B832E0">
        <w:rPr>
          <w:rFonts w:eastAsia="Arial"/>
        </w:rPr>
        <w:lastRenderedPageBreak/>
        <w:t>Veterans</w:t>
      </w:r>
      <w:r w:rsidR="00D737F9">
        <w:rPr>
          <w:rFonts w:eastAsia="Arial"/>
        </w:rPr>
        <w:t>’</w:t>
      </w:r>
      <w:r w:rsidRPr="00B832E0">
        <w:rPr>
          <w:rFonts w:eastAsia="Arial"/>
        </w:rPr>
        <w:t xml:space="preserve"> Affairs</w:t>
      </w:r>
      <w:bookmarkEnd w:id="190"/>
      <w:bookmarkEnd w:id="206"/>
    </w:p>
    <w:p w14:paraId="1E116287" w14:textId="77777777" w:rsidR="006F14A9" w:rsidRPr="00FE5783" w:rsidRDefault="006F14A9" w:rsidP="00FE5783">
      <w:pPr>
        <w:pStyle w:val="Heading3"/>
        <w:rPr>
          <w:rFonts w:eastAsia="Arial"/>
        </w:rPr>
      </w:pPr>
      <w:bookmarkStart w:id="207" w:name="_Toc99141901"/>
      <w:bookmarkStart w:id="208" w:name="_Toc166165538"/>
      <w:r w:rsidRPr="00FE5783">
        <w:rPr>
          <w:rFonts w:eastAsia="Arial"/>
        </w:rPr>
        <w:t>Fiscal Risk</w:t>
      </w:r>
      <w:bookmarkEnd w:id="207"/>
      <w:bookmarkEnd w:id="208"/>
    </w:p>
    <w:p w14:paraId="1BFD8BAB" w14:textId="77777777" w:rsidR="006F14A9" w:rsidRPr="009853F3" w:rsidRDefault="006F14A9" w:rsidP="00FE5783">
      <w:pPr>
        <w:pStyle w:val="Heading4"/>
        <w:rPr>
          <w:rFonts w:eastAsia="Arial"/>
        </w:rPr>
      </w:pPr>
      <w:r w:rsidRPr="009853F3">
        <w:rPr>
          <w:rFonts w:eastAsia="Arial"/>
        </w:rPr>
        <w:t xml:space="preserve">Defence Service Homes </w:t>
      </w:r>
      <w:r w:rsidRPr="00FE5783">
        <w:rPr>
          <w:rFonts w:eastAsia="Arial"/>
        </w:rPr>
        <w:t>Insurance</w:t>
      </w:r>
      <w:r w:rsidRPr="009853F3">
        <w:rPr>
          <w:rFonts w:eastAsia="Arial"/>
        </w:rPr>
        <w:t xml:space="preserve"> Scheme</w:t>
      </w:r>
    </w:p>
    <w:p w14:paraId="68E3E28E" w14:textId="77777777" w:rsidR="006F14A9" w:rsidRPr="009853F3" w:rsidRDefault="006F14A9" w:rsidP="00537F7B">
      <w:pPr>
        <w:rPr>
          <w:rFonts w:eastAsia="Book Antiqua"/>
        </w:rPr>
      </w:pPr>
      <w:r w:rsidRPr="009853F3">
        <w:rPr>
          <w:rFonts w:eastAsia="Book Antiqua"/>
        </w:rPr>
        <w:t>The Defence Service Homes Insurance Scheme (DSH Insurance) was established in 1919 under</w:t>
      </w:r>
      <w:r w:rsidRPr="009853F3">
        <w:rPr>
          <w:rFonts w:eastAsia="Book Antiqua"/>
          <w:spacing w:val="-14"/>
        </w:rPr>
        <w:t xml:space="preserve"> </w:t>
      </w:r>
      <w:r w:rsidRPr="009853F3">
        <w:rPr>
          <w:rFonts w:eastAsia="Book Antiqua"/>
        </w:rPr>
        <w:t>the</w:t>
      </w:r>
      <w:r w:rsidRPr="009853F3">
        <w:rPr>
          <w:rFonts w:eastAsia="Book Antiqua"/>
          <w:spacing w:val="-13"/>
        </w:rPr>
        <w:t xml:space="preserve"> </w:t>
      </w:r>
      <w:r w:rsidRPr="009853F3">
        <w:rPr>
          <w:rFonts w:eastAsia="Book Antiqua"/>
          <w:i/>
        </w:rPr>
        <w:t>Defence</w:t>
      </w:r>
      <w:r w:rsidRPr="009853F3">
        <w:rPr>
          <w:rFonts w:eastAsia="Book Antiqua"/>
          <w:i/>
          <w:spacing w:val="-15"/>
        </w:rPr>
        <w:t xml:space="preserve"> </w:t>
      </w:r>
      <w:r w:rsidRPr="009853F3">
        <w:rPr>
          <w:rFonts w:eastAsia="Book Antiqua"/>
          <w:i/>
        </w:rPr>
        <w:t>Service</w:t>
      </w:r>
      <w:r w:rsidRPr="009853F3">
        <w:rPr>
          <w:rFonts w:eastAsia="Book Antiqua"/>
          <w:i/>
          <w:spacing w:val="-15"/>
        </w:rPr>
        <w:t xml:space="preserve"> </w:t>
      </w:r>
      <w:r w:rsidRPr="009853F3">
        <w:rPr>
          <w:rFonts w:eastAsia="Book Antiqua"/>
          <w:i/>
        </w:rPr>
        <w:t>Homes</w:t>
      </w:r>
      <w:r w:rsidRPr="009853F3">
        <w:rPr>
          <w:rFonts w:eastAsia="Book Antiqua"/>
          <w:i/>
          <w:spacing w:val="-15"/>
        </w:rPr>
        <w:t xml:space="preserve"> </w:t>
      </w:r>
      <w:r w:rsidRPr="009853F3">
        <w:rPr>
          <w:rFonts w:eastAsia="Book Antiqua"/>
          <w:i/>
        </w:rPr>
        <w:t>Act</w:t>
      </w:r>
      <w:r w:rsidRPr="009853F3">
        <w:rPr>
          <w:rFonts w:eastAsia="Book Antiqua"/>
          <w:i/>
          <w:spacing w:val="-13"/>
        </w:rPr>
        <w:t> </w:t>
      </w:r>
      <w:r w:rsidRPr="009853F3">
        <w:rPr>
          <w:rFonts w:eastAsia="Book Antiqua"/>
          <w:i/>
        </w:rPr>
        <w:t>1918</w:t>
      </w:r>
      <w:r w:rsidRPr="009853F3">
        <w:rPr>
          <w:rFonts w:eastAsia="Book Antiqua"/>
        </w:rPr>
        <w:t>.</w:t>
      </w:r>
      <w:r w:rsidRPr="009853F3">
        <w:rPr>
          <w:rFonts w:eastAsia="Book Antiqua"/>
          <w:spacing w:val="-16"/>
        </w:rPr>
        <w:t xml:space="preserve"> </w:t>
      </w:r>
      <w:r w:rsidRPr="009853F3">
        <w:rPr>
          <w:rFonts w:eastAsia="Book Antiqua"/>
        </w:rPr>
        <w:t>DSH Insurance</w:t>
      </w:r>
      <w:r w:rsidRPr="009853F3">
        <w:rPr>
          <w:rFonts w:eastAsia="Book Antiqua"/>
          <w:spacing w:val="-14"/>
        </w:rPr>
        <w:t xml:space="preserve"> </w:t>
      </w:r>
      <w:r w:rsidRPr="009853F3">
        <w:rPr>
          <w:rFonts w:eastAsia="Book Antiqua"/>
        </w:rPr>
        <w:t>offers</w:t>
      </w:r>
      <w:r w:rsidRPr="009853F3">
        <w:rPr>
          <w:rFonts w:eastAsia="Book Antiqua"/>
          <w:spacing w:val="-14"/>
        </w:rPr>
        <w:t xml:space="preserve"> </w:t>
      </w:r>
      <w:r w:rsidRPr="009853F3">
        <w:rPr>
          <w:rFonts w:eastAsia="Book Antiqua"/>
        </w:rPr>
        <w:t>personal</w:t>
      </w:r>
      <w:r w:rsidRPr="009853F3">
        <w:rPr>
          <w:rFonts w:eastAsia="Book Antiqua"/>
          <w:spacing w:val="-14"/>
        </w:rPr>
        <w:t xml:space="preserve"> </w:t>
      </w:r>
      <w:r w:rsidRPr="009853F3">
        <w:rPr>
          <w:rFonts w:eastAsia="Book Antiqua"/>
        </w:rPr>
        <w:t>insurance</w:t>
      </w:r>
      <w:r w:rsidRPr="009853F3">
        <w:rPr>
          <w:rFonts w:eastAsia="Book Antiqua"/>
          <w:spacing w:val="-14"/>
        </w:rPr>
        <w:t xml:space="preserve"> </w:t>
      </w:r>
      <w:r w:rsidRPr="009853F3">
        <w:rPr>
          <w:rFonts w:eastAsia="Book Antiqua"/>
        </w:rPr>
        <w:t>products to eligible serving Australian Defence Force members, veterans and widow(er)s. It underwrites</w:t>
      </w:r>
      <w:r w:rsidRPr="009853F3">
        <w:rPr>
          <w:rFonts w:eastAsia="Book Antiqua"/>
          <w:spacing w:val="-11"/>
        </w:rPr>
        <w:t xml:space="preserve"> </w:t>
      </w:r>
      <w:r w:rsidRPr="009853F3">
        <w:rPr>
          <w:rFonts w:eastAsia="Book Antiqua"/>
        </w:rPr>
        <w:t>home</w:t>
      </w:r>
      <w:r w:rsidRPr="009853F3">
        <w:rPr>
          <w:rFonts w:eastAsia="Book Antiqua"/>
          <w:spacing w:val="-7"/>
        </w:rPr>
        <w:t xml:space="preserve"> </w:t>
      </w:r>
      <w:r w:rsidRPr="009853F3">
        <w:rPr>
          <w:rFonts w:eastAsia="Book Antiqua"/>
        </w:rPr>
        <w:t>building</w:t>
      </w:r>
      <w:r w:rsidRPr="009853F3">
        <w:rPr>
          <w:rFonts w:eastAsia="Book Antiqua"/>
          <w:spacing w:val="-9"/>
        </w:rPr>
        <w:t xml:space="preserve"> </w:t>
      </w:r>
      <w:r w:rsidRPr="009853F3">
        <w:rPr>
          <w:rFonts w:eastAsia="Book Antiqua"/>
        </w:rPr>
        <w:t>insurance</w:t>
      </w:r>
      <w:r w:rsidRPr="009853F3">
        <w:rPr>
          <w:rFonts w:eastAsia="Book Antiqua"/>
          <w:spacing w:val="-8"/>
        </w:rPr>
        <w:t xml:space="preserve"> </w:t>
      </w:r>
      <w:r w:rsidRPr="009853F3">
        <w:rPr>
          <w:rFonts w:eastAsia="Book Antiqua"/>
        </w:rPr>
        <w:t>and</w:t>
      </w:r>
      <w:r w:rsidRPr="009853F3">
        <w:rPr>
          <w:rFonts w:eastAsia="Book Antiqua"/>
          <w:spacing w:val="-7"/>
        </w:rPr>
        <w:t xml:space="preserve"> </w:t>
      </w:r>
      <w:r w:rsidRPr="009853F3">
        <w:rPr>
          <w:rFonts w:eastAsia="Book Antiqua"/>
        </w:rPr>
        <w:t>offers</w:t>
      </w:r>
      <w:r w:rsidRPr="009853F3">
        <w:rPr>
          <w:rFonts w:eastAsia="Book Antiqua"/>
          <w:spacing w:val="-11"/>
        </w:rPr>
        <w:t xml:space="preserve"> </w:t>
      </w:r>
      <w:r w:rsidRPr="009853F3">
        <w:rPr>
          <w:rFonts w:eastAsia="Book Antiqua"/>
        </w:rPr>
        <w:t>a</w:t>
      </w:r>
      <w:r w:rsidRPr="009853F3">
        <w:rPr>
          <w:rFonts w:eastAsia="Book Antiqua"/>
          <w:spacing w:val="-8"/>
        </w:rPr>
        <w:t xml:space="preserve"> </w:t>
      </w:r>
      <w:r w:rsidRPr="009853F3">
        <w:rPr>
          <w:rFonts w:eastAsia="Book Antiqua"/>
        </w:rPr>
        <w:t>range</w:t>
      </w:r>
      <w:r w:rsidRPr="009853F3">
        <w:rPr>
          <w:rFonts w:eastAsia="Book Antiqua"/>
          <w:spacing w:val="-10"/>
        </w:rPr>
        <w:t xml:space="preserve"> </w:t>
      </w:r>
      <w:r w:rsidRPr="009853F3">
        <w:rPr>
          <w:rFonts w:eastAsia="Book Antiqua"/>
        </w:rPr>
        <w:t>of</w:t>
      </w:r>
      <w:r w:rsidRPr="009853F3">
        <w:rPr>
          <w:rFonts w:eastAsia="Book Antiqua"/>
          <w:spacing w:val="-10"/>
        </w:rPr>
        <w:t xml:space="preserve"> </w:t>
      </w:r>
      <w:r w:rsidRPr="009853F3">
        <w:rPr>
          <w:rFonts w:eastAsia="Book Antiqua"/>
        </w:rPr>
        <w:t>personal</w:t>
      </w:r>
      <w:r w:rsidRPr="009853F3">
        <w:rPr>
          <w:rFonts w:eastAsia="Book Antiqua"/>
          <w:spacing w:val="-10"/>
        </w:rPr>
        <w:t xml:space="preserve"> </w:t>
      </w:r>
      <w:r w:rsidRPr="009853F3">
        <w:rPr>
          <w:rFonts w:eastAsia="Book Antiqua"/>
        </w:rPr>
        <w:t>insurance</w:t>
      </w:r>
      <w:r w:rsidRPr="009853F3">
        <w:rPr>
          <w:rFonts w:eastAsia="Book Antiqua"/>
          <w:spacing w:val="-7"/>
        </w:rPr>
        <w:t xml:space="preserve"> </w:t>
      </w:r>
      <w:r w:rsidRPr="009853F3">
        <w:rPr>
          <w:rFonts w:eastAsia="Book Antiqua"/>
        </w:rPr>
        <w:t>products (such as contents and motor vehicle insurance) underwritten by QBE Insurance (Australia)</w:t>
      </w:r>
      <w:r w:rsidRPr="009853F3">
        <w:rPr>
          <w:rFonts w:eastAsia="Book Antiqua"/>
          <w:spacing w:val="-1"/>
        </w:rPr>
        <w:t xml:space="preserve"> </w:t>
      </w:r>
      <w:r w:rsidRPr="009853F3">
        <w:rPr>
          <w:rFonts w:eastAsia="Book Antiqua"/>
        </w:rPr>
        <w:t>Limited</w:t>
      </w:r>
      <w:r w:rsidRPr="009853F3">
        <w:rPr>
          <w:rFonts w:eastAsiaTheme="minorEastAsia"/>
          <w:lang w:val="en-US"/>
        </w:rPr>
        <w:t xml:space="preserve"> (QBE)</w:t>
      </w:r>
      <w:r w:rsidRPr="009853F3">
        <w:rPr>
          <w:rFonts w:eastAsia="Book Antiqua"/>
        </w:rPr>
        <w:t>.</w:t>
      </w:r>
    </w:p>
    <w:p w14:paraId="09774DB6" w14:textId="1A98AF1C" w:rsidR="006F14A9" w:rsidRPr="00537F7B" w:rsidRDefault="006F14A9" w:rsidP="00537F7B">
      <w:pPr>
        <w:rPr>
          <w:rFonts w:eastAsiaTheme="minorEastAsia"/>
        </w:rPr>
      </w:pPr>
      <w:r w:rsidRPr="009853F3">
        <w:rPr>
          <w:rFonts w:eastAsiaTheme="minorEastAsia"/>
          <w:lang w:val="en-US"/>
        </w:rPr>
        <w:t>DSH Insurance is funded by premiums collected from policy holders, commissions from QBE and returns on investments. Due to the nature of insurance, DSH Insurance</w:t>
      </w:r>
      <w:r w:rsidR="00D737F9">
        <w:rPr>
          <w:rFonts w:eastAsiaTheme="minorEastAsia"/>
          <w:lang w:val="en-US"/>
        </w:rPr>
        <w:t>’</w:t>
      </w:r>
      <w:r w:rsidRPr="009853F3">
        <w:rPr>
          <w:rFonts w:eastAsiaTheme="minorEastAsia"/>
          <w:lang w:val="en-US"/>
        </w:rPr>
        <w:t xml:space="preserve">s financial performance can be volatile from year to year. The last </w:t>
      </w:r>
      <w:r>
        <w:rPr>
          <w:rFonts w:eastAsiaTheme="minorEastAsia"/>
          <w:lang w:val="en-US"/>
        </w:rPr>
        <w:t>few</w:t>
      </w:r>
      <w:r w:rsidRPr="009853F3">
        <w:rPr>
          <w:rFonts w:eastAsiaTheme="minorEastAsia"/>
          <w:lang w:val="en-US"/>
        </w:rPr>
        <w:t> years have been challenging for</w:t>
      </w:r>
      <w:r w:rsidR="00537F7B">
        <w:rPr>
          <w:rFonts w:eastAsiaTheme="minorEastAsia"/>
          <w:lang w:val="en-US"/>
        </w:rPr>
        <w:t> </w:t>
      </w:r>
      <w:r w:rsidRPr="009853F3">
        <w:rPr>
          <w:rFonts w:eastAsiaTheme="minorEastAsia"/>
          <w:lang w:val="en-US"/>
        </w:rPr>
        <w:t xml:space="preserve">DSH Insurance due to increases in claims from extreme weather events (including bushfires, hailstorms and floods), combined with low investment returns and increased pricing on reinsurance premiums. These are </w:t>
      </w:r>
      <w:bookmarkStart w:id="209" w:name="_Int_WmiBf3gr"/>
      <w:r w:rsidRPr="009853F3">
        <w:rPr>
          <w:rFonts w:eastAsiaTheme="minorEastAsia"/>
          <w:lang w:val="en-US"/>
        </w:rPr>
        <w:t>industry</w:t>
      </w:r>
      <w:r w:rsidR="00D737F9">
        <w:rPr>
          <w:rFonts w:eastAsiaTheme="minorEastAsia"/>
          <w:lang w:val="en-US"/>
        </w:rPr>
        <w:noBreakHyphen/>
      </w:r>
      <w:r w:rsidRPr="009853F3">
        <w:rPr>
          <w:rFonts w:eastAsiaTheme="minorEastAsia"/>
          <w:lang w:val="en-US"/>
        </w:rPr>
        <w:t>wide</w:t>
      </w:r>
      <w:bookmarkEnd w:id="209"/>
      <w:r w:rsidRPr="009853F3">
        <w:rPr>
          <w:rFonts w:eastAsiaTheme="minorEastAsia"/>
          <w:lang w:val="en-US"/>
        </w:rPr>
        <w:t xml:space="preserve"> challenges affecting all general</w:t>
      </w:r>
      <w:r w:rsidR="00BC5205">
        <w:rPr>
          <w:rFonts w:eastAsiaTheme="minorEastAsia"/>
          <w:lang w:val="en-US"/>
        </w:rPr>
        <w:t> </w:t>
      </w:r>
      <w:r w:rsidRPr="009853F3">
        <w:rPr>
          <w:rFonts w:eastAsiaTheme="minorEastAsia"/>
          <w:lang w:val="en-US"/>
        </w:rPr>
        <w:t>insurers.</w:t>
      </w:r>
    </w:p>
    <w:p w14:paraId="40ECF6B7" w14:textId="77777777" w:rsidR="006F14A9" w:rsidRPr="00537F7B" w:rsidRDefault="006F14A9" w:rsidP="00537F7B">
      <w:pPr>
        <w:rPr>
          <w:rFonts w:eastAsiaTheme="minorEastAsia"/>
        </w:rPr>
      </w:pPr>
      <w:r w:rsidRPr="009853F3">
        <w:rPr>
          <w:rFonts w:eastAsiaTheme="minorEastAsia"/>
          <w:lang w:val="en-US"/>
        </w:rPr>
        <w:t xml:space="preserve">DSH Insurance manages the volatility of the insurance cycle by aiming for an appropriate level of capital (that is, reserves) consistent with the regulations placed on insurers and monitored by the Australian Prudential Regulation Authority. DSH Insurance also has a comprehensive reinsurance program in place, reducing the exposure to loss by passing part of the risk of loss to a group of reinsurers. </w:t>
      </w:r>
      <w:bookmarkStart w:id="210" w:name="_Int_hvbJkcpl"/>
      <w:r w:rsidRPr="009853F3">
        <w:rPr>
          <w:rFonts w:eastAsiaTheme="minorEastAsia"/>
          <w:lang w:val="en-US"/>
        </w:rPr>
        <w:t>Nevertheless, there remains a risk that additional Government contributions could be required should these reserves be insufficient to cover the liabilities of DSH Insurance.</w:t>
      </w:r>
      <w:bookmarkEnd w:id="210"/>
      <w:r w:rsidRPr="36860990">
        <w:rPr>
          <w:rFonts w:eastAsiaTheme="minorEastAsia"/>
          <w:lang w:val="en-US"/>
        </w:rPr>
        <w:t xml:space="preserve"> </w:t>
      </w:r>
    </w:p>
    <w:p w14:paraId="71FA2611" w14:textId="77777777" w:rsidR="009D70F5" w:rsidRPr="00B832E0" w:rsidRDefault="009D70F5" w:rsidP="00537F7B">
      <w:pPr>
        <w:rPr>
          <w:rFonts w:eastAsia="Book Antiqua"/>
        </w:rPr>
      </w:pPr>
      <w:r w:rsidRPr="00B832E0">
        <w:rPr>
          <w:rFonts w:eastAsia="Book Antiqua"/>
        </w:rPr>
        <w:br w:type="page"/>
      </w:r>
    </w:p>
    <w:p w14:paraId="249343C0" w14:textId="77777777" w:rsidR="009D70F5" w:rsidRPr="00B832E0" w:rsidRDefault="009D70F5" w:rsidP="001078E4">
      <w:pPr>
        <w:pStyle w:val="Heading2"/>
        <w:rPr>
          <w:rFonts w:eastAsia="Arial"/>
        </w:rPr>
      </w:pPr>
      <w:bookmarkStart w:id="211" w:name="_Toc99141902"/>
      <w:bookmarkStart w:id="212" w:name="_Toc166165539"/>
      <w:r w:rsidRPr="00B832E0">
        <w:rPr>
          <w:rFonts w:eastAsia="Arial"/>
        </w:rPr>
        <w:lastRenderedPageBreak/>
        <w:t>Government loans</w:t>
      </w:r>
      <w:bookmarkEnd w:id="211"/>
      <w:bookmarkEnd w:id="212"/>
    </w:p>
    <w:p w14:paraId="1F1542F3" w14:textId="77777777" w:rsidR="00C20A5B" w:rsidRDefault="00C20A5B" w:rsidP="00537F7B">
      <w:r>
        <w:t xml:space="preserve">Loans are recorded as financial assets. Accordingly, the amounts advanced and repaid do not normally affect the Budget aggregates of fiscal balance and underlying cash balance. Loans that are concessional (lower than market interest rate) or are agreed to be written off, result in an impact on the fiscal balance. </w:t>
      </w:r>
    </w:p>
    <w:p w14:paraId="0DB62B76" w14:textId="3D25252E" w:rsidR="00C20A5B" w:rsidRPr="00E1106B" w:rsidRDefault="00C20A5B" w:rsidP="00537F7B">
      <w:r>
        <w:t xml:space="preserve">The Government makes loans for policy purposes. All loans contain some element of credit risk that they will not be repaid in full, although in many cases this risk is </w:t>
      </w:r>
      <w:r w:rsidRPr="00E908FA">
        <w:t xml:space="preserve">small. Table </w:t>
      </w:r>
      <w:r>
        <w:t>9</w:t>
      </w:r>
      <w:r w:rsidRPr="00E908FA">
        <w:t xml:space="preserve">.3 summarises Government loans estimated to exceed $200 million at </w:t>
      </w:r>
      <w:r w:rsidRPr="00E46520">
        <w:t>30</w:t>
      </w:r>
      <w:r w:rsidR="0023629A">
        <w:t> June </w:t>
      </w:r>
      <w:r w:rsidRPr="00E46520">
        <w:t>2024</w:t>
      </w:r>
      <w:r w:rsidRPr="00E908FA">
        <w:t>.</w:t>
      </w:r>
    </w:p>
    <w:p w14:paraId="0C2C5DA9" w14:textId="77777777" w:rsidR="009D70F5" w:rsidRPr="00B832E0" w:rsidRDefault="009D70F5" w:rsidP="00537F7B"/>
    <w:p w14:paraId="1D11C66F" w14:textId="77777777" w:rsidR="009D70F5" w:rsidRDefault="009D70F5" w:rsidP="009D70F5">
      <w:pPr>
        <w:sectPr w:rsidR="009D70F5" w:rsidSect="007F4042">
          <w:headerReference w:type="even" r:id="rId21"/>
          <w:headerReference w:type="default" r:id="rId22"/>
          <w:footerReference w:type="first" r:id="rId23"/>
          <w:pgSz w:w="11907" w:h="16840" w:code="9"/>
          <w:pgMar w:top="2835" w:right="2098" w:bottom="2466" w:left="2098" w:header="1814" w:footer="1814" w:gutter="0"/>
          <w:cols w:space="708"/>
          <w:titlePg/>
          <w:docGrid w:linePitch="360"/>
        </w:sectPr>
      </w:pPr>
    </w:p>
    <w:p w14:paraId="4DF63FFA" w14:textId="401DB27F" w:rsidR="009D70F5" w:rsidRPr="00B832E0" w:rsidRDefault="009D70F5" w:rsidP="009D70F5">
      <w:pPr>
        <w:pStyle w:val="TableHeading"/>
        <w:rPr>
          <w:rFonts w:eastAsia="Arial"/>
        </w:rPr>
      </w:pPr>
      <w:r w:rsidRPr="00B832E0">
        <w:rPr>
          <w:rFonts w:eastAsia="Arial"/>
        </w:rPr>
        <w:lastRenderedPageBreak/>
        <w:t>Table 9.3: Summary of Australian Government loans meeting the materiality threshold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990"/>
        <w:gridCol w:w="1405"/>
        <w:gridCol w:w="21"/>
        <w:gridCol w:w="2968"/>
        <w:gridCol w:w="22"/>
        <w:gridCol w:w="1459"/>
        <w:gridCol w:w="65"/>
        <w:gridCol w:w="1388"/>
        <w:gridCol w:w="80"/>
        <w:gridCol w:w="1141"/>
      </w:tblGrid>
      <w:tr w:rsidR="00553A18" w:rsidRPr="00B832E0" w14:paraId="15FE8C2A" w14:textId="77777777" w:rsidTr="00C75A5A">
        <w:trPr>
          <w:trHeight w:val="12"/>
          <w:tblHeader/>
        </w:trPr>
        <w:tc>
          <w:tcPr>
            <w:tcW w:w="2990" w:type="dxa"/>
            <w:shd w:val="clear" w:color="auto" w:fill="E6F2FF"/>
            <w:vAlign w:val="bottom"/>
          </w:tcPr>
          <w:p w14:paraId="7B0147BD" w14:textId="7E8C7C94" w:rsidR="009D70F5" w:rsidRPr="00B832E0" w:rsidRDefault="00824F48" w:rsidP="00042053">
            <w:pPr>
              <w:pStyle w:val="TableColumnHeadingLeft"/>
            </w:pPr>
            <w:r>
              <w:t>Portfolio</w:t>
            </w:r>
            <w:r w:rsidR="00127A74">
              <w:br/>
            </w:r>
          </w:p>
        </w:tc>
        <w:tc>
          <w:tcPr>
            <w:tcW w:w="1426" w:type="dxa"/>
            <w:gridSpan w:val="2"/>
            <w:shd w:val="clear" w:color="auto" w:fill="E6F2FF"/>
          </w:tcPr>
          <w:p w14:paraId="7B2A0967" w14:textId="77777777" w:rsidR="009D70F5" w:rsidRPr="00B832E0" w:rsidRDefault="009D70F5" w:rsidP="00127A74">
            <w:pPr>
              <w:pStyle w:val="TableColumnHeadingCentred"/>
              <w:jc w:val="right"/>
              <w:rPr>
                <w:sz w:val="18"/>
                <w:szCs w:val="18"/>
                <w:vertAlign w:val="superscript"/>
              </w:rPr>
            </w:pPr>
            <w:r w:rsidRPr="00B832E0">
              <w:t>Loan amount</w:t>
            </w:r>
            <w:r w:rsidRPr="00B832E0">
              <w:rPr>
                <w:sz w:val="18"/>
                <w:szCs w:val="18"/>
                <w:vertAlign w:val="superscript"/>
              </w:rPr>
              <w:t xml:space="preserve">(a) </w:t>
            </w:r>
            <w:r w:rsidRPr="00B832E0">
              <w:rPr>
                <w:szCs w:val="16"/>
              </w:rPr>
              <w:t>($m)</w:t>
            </w:r>
          </w:p>
        </w:tc>
        <w:tc>
          <w:tcPr>
            <w:tcW w:w="2990" w:type="dxa"/>
            <w:gridSpan w:val="2"/>
            <w:shd w:val="clear" w:color="auto" w:fill="E6F2FF"/>
            <w:vAlign w:val="bottom"/>
          </w:tcPr>
          <w:p w14:paraId="16B7BC6A" w14:textId="6E944834" w:rsidR="009D70F5" w:rsidRPr="00B832E0" w:rsidRDefault="009D70F5" w:rsidP="00042053">
            <w:pPr>
              <w:pStyle w:val="TableColumnHeadingLeft"/>
              <w:rPr>
                <w:rFonts w:cs="Arial"/>
              </w:rPr>
            </w:pPr>
            <w:r w:rsidRPr="00B832E0">
              <w:t>Borrower</w:t>
            </w:r>
            <w:r w:rsidR="00127A74">
              <w:br/>
            </w:r>
          </w:p>
        </w:tc>
        <w:tc>
          <w:tcPr>
            <w:tcW w:w="1524" w:type="dxa"/>
            <w:gridSpan w:val="2"/>
            <w:shd w:val="clear" w:color="auto" w:fill="E6F2FF"/>
            <w:vAlign w:val="bottom"/>
          </w:tcPr>
          <w:p w14:paraId="21C3FC10" w14:textId="49A2D845" w:rsidR="009D70F5" w:rsidRPr="00B832E0" w:rsidRDefault="009D70F5" w:rsidP="00042053">
            <w:pPr>
              <w:pStyle w:val="TableColumnHeadingLeft"/>
            </w:pPr>
            <w:r w:rsidRPr="00B832E0">
              <w:t>Interest rate</w:t>
            </w:r>
            <w:r w:rsidR="00127A74">
              <w:br/>
            </w:r>
          </w:p>
        </w:tc>
        <w:tc>
          <w:tcPr>
            <w:tcW w:w="1468" w:type="dxa"/>
            <w:gridSpan w:val="2"/>
            <w:shd w:val="clear" w:color="auto" w:fill="E6F2FF"/>
            <w:vAlign w:val="bottom"/>
          </w:tcPr>
          <w:p w14:paraId="76A9A536" w14:textId="074F9FC5" w:rsidR="009D70F5" w:rsidRPr="00B832E0" w:rsidRDefault="009D70F5" w:rsidP="00042053">
            <w:pPr>
              <w:pStyle w:val="TableColumnHeadingLeft"/>
            </w:pPr>
            <w:r w:rsidRPr="00B832E0">
              <w:t>Term</w:t>
            </w:r>
            <w:r w:rsidR="00127A74">
              <w:br/>
            </w:r>
          </w:p>
        </w:tc>
        <w:tc>
          <w:tcPr>
            <w:tcW w:w="1141" w:type="dxa"/>
            <w:shd w:val="clear" w:color="auto" w:fill="E6F2FF"/>
            <w:vAlign w:val="bottom"/>
          </w:tcPr>
          <w:p w14:paraId="6533F9AF" w14:textId="14B0EDBC" w:rsidR="009D70F5" w:rsidRPr="00B832E0" w:rsidRDefault="009D70F5" w:rsidP="00042053">
            <w:pPr>
              <w:pStyle w:val="TableColumnHeadingLeft"/>
            </w:pPr>
            <w:r w:rsidRPr="00B832E0">
              <w:t>Status</w:t>
            </w:r>
            <w:r w:rsidRPr="00B832E0">
              <w:rPr>
                <w:sz w:val="18"/>
                <w:szCs w:val="18"/>
                <w:vertAlign w:val="superscript"/>
              </w:rPr>
              <w:t>(b)</w:t>
            </w:r>
            <w:r w:rsidR="00127A74">
              <w:rPr>
                <w:sz w:val="18"/>
                <w:szCs w:val="18"/>
                <w:vertAlign w:val="superscript"/>
              </w:rPr>
              <w:br/>
            </w:r>
          </w:p>
        </w:tc>
      </w:tr>
      <w:tr w:rsidR="009D70F5" w:rsidRPr="00B832E0" w14:paraId="683A98A2" w14:textId="77777777" w:rsidTr="00F01B44">
        <w:trPr>
          <w:trHeight w:val="12"/>
        </w:trPr>
        <w:tc>
          <w:tcPr>
            <w:tcW w:w="11539" w:type="dxa"/>
            <w:gridSpan w:val="10"/>
            <w:shd w:val="clear" w:color="auto" w:fill="E6F2FF"/>
          </w:tcPr>
          <w:p w14:paraId="6153D5B6" w14:textId="77777777" w:rsidR="009D70F5" w:rsidRPr="00B832E0" w:rsidRDefault="009D70F5" w:rsidP="00042053">
            <w:pPr>
              <w:pStyle w:val="TableColumnHeadingLeft"/>
            </w:pPr>
            <w:r w:rsidRPr="00B832E0">
              <w:t>Agriculture, Fisheries and Forestry</w:t>
            </w:r>
          </w:p>
        </w:tc>
      </w:tr>
      <w:tr w:rsidR="00553A18" w:rsidRPr="00B832E0" w14:paraId="41A84599" w14:textId="77777777" w:rsidTr="00C75A5A">
        <w:trPr>
          <w:trHeight w:val="12"/>
        </w:trPr>
        <w:tc>
          <w:tcPr>
            <w:tcW w:w="2990" w:type="dxa"/>
            <w:shd w:val="clear" w:color="auto" w:fill="auto"/>
          </w:tcPr>
          <w:p w14:paraId="2AFE5FCF" w14:textId="62668902" w:rsidR="001D5400" w:rsidRPr="00B832E0" w:rsidRDefault="001D5400" w:rsidP="001D5400">
            <w:pPr>
              <w:pStyle w:val="TableTextLeft"/>
            </w:pPr>
            <w:r w:rsidRPr="00F109B4">
              <w:t>Drought</w:t>
            </w:r>
            <w:r w:rsidR="00D737F9">
              <w:noBreakHyphen/>
            </w:r>
            <w:r w:rsidRPr="00F109B4">
              <w:t>related and farm finance concessional loans – Agriculture</w:t>
            </w:r>
          </w:p>
        </w:tc>
        <w:tc>
          <w:tcPr>
            <w:tcW w:w="1426" w:type="dxa"/>
            <w:gridSpan w:val="2"/>
            <w:shd w:val="clear" w:color="auto" w:fill="auto"/>
          </w:tcPr>
          <w:p w14:paraId="7BAE63AF" w14:textId="7BEA3FB3" w:rsidR="001D5400" w:rsidRPr="00B832E0" w:rsidRDefault="001D5400" w:rsidP="001D5400">
            <w:pPr>
              <w:pStyle w:val="TableTextRight"/>
            </w:pPr>
            <w:r>
              <w:t>165</w:t>
            </w:r>
          </w:p>
        </w:tc>
        <w:tc>
          <w:tcPr>
            <w:tcW w:w="2990" w:type="dxa"/>
            <w:gridSpan w:val="2"/>
            <w:shd w:val="clear" w:color="auto" w:fill="auto"/>
          </w:tcPr>
          <w:p w14:paraId="6C332875" w14:textId="107E7C7A" w:rsidR="001D5400" w:rsidRPr="00B832E0" w:rsidRDefault="001D5400" w:rsidP="001D5400">
            <w:pPr>
              <w:pStyle w:val="TableTextLeft"/>
            </w:pPr>
            <w:r w:rsidRPr="00B832E0">
              <w:t>State Governments (that through their delivery agencies, on</w:t>
            </w:r>
            <w:r w:rsidR="00D737F9">
              <w:noBreakHyphen/>
            </w:r>
            <w:r w:rsidRPr="00B832E0">
              <w:t>lend to eligible farm businesses) </w:t>
            </w:r>
          </w:p>
        </w:tc>
        <w:tc>
          <w:tcPr>
            <w:tcW w:w="1524" w:type="dxa"/>
            <w:gridSpan w:val="2"/>
            <w:shd w:val="clear" w:color="auto" w:fill="auto"/>
          </w:tcPr>
          <w:p w14:paraId="01A40253" w14:textId="2191AAD9" w:rsidR="001D5400" w:rsidRPr="00B832E0" w:rsidRDefault="001D5400" w:rsidP="001D5400">
            <w:pPr>
              <w:pStyle w:val="TableTextLeft"/>
            </w:pPr>
            <w:r w:rsidRPr="00B832E0">
              <w:t>Various </w:t>
            </w:r>
          </w:p>
        </w:tc>
        <w:tc>
          <w:tcPr>
            <w:tcW w:w="1468" w:type="dxa"/>
            <w:gridSpan w:val="2"/>
          </w:tcPr>
          <w:p w14:paraId="0BF9DA56" w14:textId="6DEFCC46" w:rsidR="001D5400" w:rsidRPr="00B832E0" w:rsidRDefault="001D5400" w:rsidP="001D5400">
            <w:pPr>
              <w:pStyle w:val="TableTextLeft"/>
            </w:pPr>
            <w:r w:rsidRPr="00B832E0">
              <w:t>Various </w:t>
            </w:r>
          </w:p>
        </w:tc>
        <w:tc>
          <w:tcPr>
            <w:tcW w:w="1141" w:type="dxa"/>
          </w:tcPr>
          <w:p w14:paraId="0B39C0DB" w14:textId="79FCDD30" w:rsidR="001D5400" w:rsidRPr="00B832E0" w:rsidRDefault="001D5400" w:rsidP="001D5400">
            <w:pPr>
              <w:pStyle w:val="TableTextLeft"/>
            </w:pPr>
            <w:r w:rsidRPr="00B832E0">
              <w:t>Modified </w:t>
            </w:r>
          </w:p>
        </w:tc>
      </w:tr>
      <w:tr w:rsidR="00553A18" w:rsidRPr="00B832E0" w14:paraId="4CD3E91F" w14:textId="77777777" w:rsidTr="00C75A5A">
        <w:trPr>
          <w:trHeight w:val="12"/>
        </w:trPr>
        <w:tc>
          <w:tcPr>
            <w:tcW w:w="2990" w:type="dxa"/>
            <w:shd w:val="clear" w:color="auto" w:fill="auto"/>
          </w:tcPr>
          <w:p w14:paraId="6F82CAF8" w14:textId="48BBEB30" w:rsidR="001D5400" w:rsidRPr="00B832E0" w:rsidRDefault="001D5400" w:rsidP="001D5400">
            <w:pPr>
              <w:pStyle w:val="TableTextLeft"/>
            </w:pPr>
            <w:r w:rsidRPr="00F109B4">
              <w:t>Farm Investment Loans, Drought Loans, AgriStarter Loans, AgBiz Drought Loans</w:t>
            </w:r>
            <w:r>
              <w:t xml:space="preserve"> and</w:t>
            </w:r>
            <w:r w:rsidRPr="00F109B4">
              <w:t xml:space="preserve"> AgRebuild Loans</w:t>
            </w:r>
          </w:p>
        </w:tc>
        <w:tc>
          <w:tcPr>
            <w:tcW w:w="1426" w:type="dxa"/>
            <w:gridSpan w:val="2"/>
            <w:shd w:val="clear" w:color="auto" w:fill="auto"/>
          </w:tcPr>
          <w:p w14:paraId="07B18016" w14:textId="16D5856F" w:rsidR="001D5400" w:rsidRPr="00B832E0" w:rsidRDefault="001D5400" w:rsidP="001D5400">
            <w:pPr>
              <w:pStyle w:val="TableTextRight"/>
            </w:pPr>
            <w:r w:rsidRPr="00B832E0">
              <w:t>2,</w:t>
            </w:r>
            <w:r>
              <w:t>745</w:t>
            </w:r>
          </w:p>
        </w:tc>
        <w:tc>
          <w:tcPr>
            <w:tcW w:w="2990" w:type="dxa"/>
            <w:gridSpan w:val="2"/>
            <w:shd w:val="clear" w:color="auto" w:fill="auto"/>
          </w:tcPr>
          <w:p w14:paraId="3F8B865D" w14:textId="1EB1B0D5" w:rsidR="001D5400" w:rsidRPr="00B832E0" w:rsidRDefault="001D5400" w:rsidP="001D5400">
            <w:pPr>
              <w:pStyle w:val="TableTextLeft"/>
            </w:pPr>
            <w:r w:rsidRPr="00B832E0">
              <w:t xml:space="preserve">Eligible Australian farm businesses and related small businesses, </w:t>
            </w:r>
            <w:r>
              <w:t>through the</w:t>
            </w:r>
            <w:r w:rsidRPr="00B832E0">
              <w:t xml:space="preserve"> Regional Investment Corporation </w:t>
            </w:r>
          </w:p>
        </w:tc>
        <w:tc>
          <w:tcPr>
            <w:tcW w:w="1524" w:type="dxa"/>
            <w:gridSpan w:val="2"/>
            <w:shd w:val="clear" w:color="auto" w:fill="auto"/>
          </w:tcPr>
          <w:p w14:paraId="4B4D4809" w14:textId="3432E33F" w:rsidR="001D5400" w:rsidRPr="00B832E0" w:rsidRDefault="001D5400" w:rsidP="001D5400">
            <w:pPr>
              <w:pStyle w:val="TableTextLeft"/>
            </w:pPr>
            <w:r w:rsidRPr="00B832E0">
              <w:t>4.</w:t>
            </w:r>
            <w:r>
              <w:t>99 per cent </w:t>
            </w:r>
            <w:r w:rsidRPr="00B832E0">
              <w:t>for all loans</w:t>
            </w:r>
            <w:r>
              <w:t> </w:t>
            </w:r>
          </w:p>
        </w:tc>
        <w:tc>
          <w:tcPr>
            <w:tcW w:w="1468" w:type="dxa"/>
            <w:gridSpan w:val="2"/>
            <w:shd w:val="clear" w:color="auto" w:fill="auto"/>
          </w:tcPr>
          <w:p w14:paraId="6E4E0D9D" w14:textId="2A366059" w:rsidR="001D5400" w:rsidRPr="00B832E0" w:rsidRDefault="001D5400" w:rsidP="001D5400">
            <w:pPr>
              <w:pStyle w:val="TableTextLeft"/>
            </w:pPr>
            <w:r w:rsidRPr="00B832E0">
              <w:t>Up to 10 years for all loans</w:t>
            </w:r>
            <w:r>
              <w:t> </w:t>
            </w:r>
          </w:p>
        </w:tc>
        <w:tc>
          <w:tcPr>
            <w:tcW w:w="1141" w:type="dxa"/>
          </w:tcPr>
          <w:p w14:paraId="436D2291" w14:textId="407077D9" w:rsidR="001D5400" w:rsidRPr="00B832E0" w:rsidRDefault="001D5400" w:rsidP="001D5400">
            <w:pPr>
              <w:pStyle w:val="TableTextLeft"/>
            </w:pPr>
            <w:r w:rsidRPr="00B832E0">
              <w:t>Modified </w:t>
            </w:r>
          </w:p>
        </w:tc>
      </w:tr>
      <w:tr w:rsidR="009D70F5" w:rsidRPr="00B832E0" w14:paraId="24007E64" w14:textId="77777777" w:rsidTr="00F01B44">
        <w:trPr>
          <w:trHeight w:val="12"/>
        </w:trPr>
        <w:tc>
          <w:tcPr>
            <w:tcW w:w="11539" w:type="dxa"/>
            <w:gridSpan w:val="10"/>
            <w:shd w:val="clear" w:color="auto" w:fill="E6F2FF"/>
          </w:tcPr>
          <w:p w14:paraId="78A318EF" w14:textId="77777777" w:rsidR="009D70F5" w:rsidRPr="00B832E0" w:rsidRDefault="009D70F5" w:rsidP="00042053">
            <w:pPr>
              <w:pStyle w:val="TableColumnHeadingLeft"/>
              <w:rPr>
                <w:vertAlign w:val="superscript"/>
              </w:rPr>
            </w:pPr>
            <w:r w:rsidRPr="116C2317">
              <w:t>Climate Change, Energy, the Environment and Water</w:t>
            </w:r>
          </w:p>
        </w:tc>
      </w:tr>
      <w:tr w:rsidR="00553A18" w:rsidRPr="00B832E0" w14:paraId="7327690D" w14:textId="77777777" w:rsidTr="00C75A5A">
        <w:trPr>
          <w:trHeight w:val="12"/>
        </w:trPr>
        <w:tc>
          <w:tcPr>
            <w:tcW w:w="2990" w:type="dxa"/>
            <w:shd w:val="clear" w:color="auto" w:fill="auto"/>
          </w:tcPr>
          <w:p w14:paraId="41FD75A7" w14:textId="0C4D68AC" w:rsidR="000D7A75" w:rsidRPr="00B832E0" w:rsidRDefault="000D7A75" w:rsidP="000D7A75">
            <w:pPr>
              <w:pStyle w:val="TableTextLeft"/>
            </w:pPr>
            <w:r w:rsidRPr="00B832E0">
              <w:t>Clean Energy Finance Corporation</w:t>
            </w:r>
          </w:p>
        </w:tc>
        <w:tc>
          <w:tcPr>
            <w:tcW w:w="1426" w:type="dxa"/>
            <w:gridSpan w:val="2"/>
            <w:shd w:val="clear" w:color="auto" w:fill="auto"/>
          </w:tcPr>
          <w:p w14:paraId="339771C4" w14:textId="139698B7" w:rsidR="000D7A75" w:rsidRPr="00B832E0" w:rsidRDefault="000D7A75" w:rsidP="000D7A75">
            <w:pPr>
              <w:pStyle w:val="TableTextRight"/>
            </w:pPr>
            <w:r w:rsidRPr="00B832E0">
              <w:t>2,</w:t>
            </w:r>
            <w:r>
              <w:t>830</w:t>
            </w:r>
          </w:p>
        </w:tc>
        <w:tc>
          <w:tcPr>
            <w:tcW w:w="2990" w:type="dxa"/>
            <w:gridSpan w:val="2"/>
            <w:shd w:val="clear" w:color="auto" w:fill="auto"/>
          </w:tcPr>
          <w:p w14:paraId="53F44DD5" w14:textId="67CB0188" w:rsidR="000D7A75" w:rsidRPr="00B832E0" w:rsidRDefault="000D7A75" w:rsidP="000D7A75">
            <w:pPr>
              <w:pStyle w:val="TableTextLeft"/>
            </w:pPr>
            <w:r w:rsidRPr="00B832E0">
              <w:rPr>
                <w:rFonts w:cs="Arial"/>
                <w:szCs w:val="16"/>
              </w:rPr>
              <w:t>Approved entities undertaking clean energy technology projects </w:t>
            </w:r>
          </w:p>
        </w:tc>
        <w:tc>
          <w:tcPr>
            <w:tcW w:w="1524" w:type="dxa"/>
            <w:gridSpan w:val="2"/>
            <w:shd w:val="clear" w:color="auto" w:fill="auto"/>
          </w:tcPr>
          <w:p w14:paraId="5E5AD837" w14:textId="03027483" w:rsidR="000D7A75" w:rsidRPr="00B832E0" w:rsidRDefault="000D7A75" w:rsidP="000D7A75">
            <w:pPr>
              <w:pStyle w:val="TableTextLeft"/>
            </w:pPr>
            <w:r>
              <w:rPr>
                <w:rFonts w:cs="Arial"/>
                <w:szCs w:val="16"/>
              </w:rPr>
              <w:t xml:space="preserve">Approximately </w:t>
            </w:r>
            <w:r w:rsidRPr="00B832E0">
              <w:rPr>
                <w:rFonts w:cs="Arial"/>
                <w:szCs w:val="16"/>
              </w:rPr>
              <w:t>4.</w:t>
            </w:r>
            <w:r>
              <w:rPr>
                <w:rFonts w:cs="Arial"/>
                <w:szCs w:val="16"/>
              </w:rPr>
              <w:t>5 per cent </w:t>
            </w:r>
            <w:r w:rsidR="00BC5205">
              <w:rPr>
                <w:rFonts w:cs="Arial"/>
                <w:szCs w:val="16"/>
              </w:rPr>
              <w:br/>
            </w:r>
            <w:r w:rsidRPr="00B832E0">
              <w:rPr>
                <w:rFonts w:cs="Arial"/>
                <w:szCs w:val="16"/>
              </w:rPr>
              <w:t>weighted average </w:t>
            </w:r>
          </w:p>
        </w:tc>
        <w:tc>
          <w:tcPr>
            <w:tcW w:w="1468" w:type="dxa"/>
            <w:gridSpan w:val="2"/>
            <w:shd w:val="clear" w:color="auto" w:fill="auto"/>
          </w:tcPr>
          <w:p w14:paraId="5E25AF23" w14:textId="6B3024BF" w:rsidR="000D7A75" w:rsidRPr="00B832E0" w:rsidRDefault="000D7A75" w:rsidP="000D7A75">
            <w:pPr>
              <w:pStyle w:val="TableTextLeft"/>
              <w:rPr>
                <w:color w:val="000000"/>
              </w:rPr>
            </w:pPr>
            <w:r>
              <w:rPr>
                <w:rFonts w:cs="Arial"/>
                <w:szCs w:val="16"/>
              </w:rPr>
              <w:t xml:space="preserve">Predominately </w:t>
            </w:r>
            <w:r w:rsidRPr="00B832E0">
              <w:rPr>
                <w:rFonts w:cs="Arial"/>
                <w:szCs w:val="16"/>
              </w:rPr>
              <w:t>5</w:t>
            </w:r>
            <w:r w:rsidR="00D737F9">
              <w:rPr>
                <w:rFonts w:cs="Arial"/>
                <w:szCs w:val="16"/>
              </w:rPr>
              <w:noBreakHyphen/>
            </w:r>
            <w:r w:rsidRPr="00B832E0">
              <w:rPr>
                <w:rFonts w:cs="Arial"/>
                <w:szCs w:val="16"/>
              </w:rPr>
              <w:t>15 years </w:t>
            </w:r>
          </w:p>
        </w:tc>
        <w:tc>
          <w:tcPr>
            <w:tcW w:w="1141" w:type="dxa"/>
          </w:tcPr>
          <w:p w14:paraId="66BCC6E7" w14:textId="4FB75334" w:rsidR="000D7A75" w:rsidRPr="00B832E0" w:rsidRDefault="000D7A75" w:rsidP="000D7A75">
            <w:pPr>
              <w:pStyle w:val="TableTextLeft"/>
              <w:rPr>
                <w:color w:val="000000"/>
              </w:rPr>
            </w:pPr>
            <w:r>
              <w:rPr>
                <w:rFonts w:cs="Arial"/>
                <w:szCs w:val="16"/>
              </w:rPr>
              <w:t>Unchanged</w:t>
            </w:r>
            <w:r w:rsidRPr="00B832E0">
              <w:rPr>
                <w:rFonts w:cs="Arial"/>
                <w:szCs w:val="16"/>
              </w:rPr>
              <w:t> </w:t>
            </w:r>
          </w:p>
        </w:tc>
      </w:tr>
      <w:tr w:rsidR="009D70F5" w:rsidRPr="00B832E0" w14:paraId="7FBBDF88" w14:textId="77777777" w:rsidTr="00F01B44">
        <w:trPr>
          <w:trHeight w:val="12"/>
        </w:trPr>
        <w:tc>
          <w:tcPr>
            <w:tcW w:w="11539" w:type="dxa"/>
            <w:gridSpan w:val="10"/>
            <w:shd w:val="clear" w:color="auto" w:fill="E6F2FF"/>
          </w:tcPr>
          <w:p w14:paraId="49F60F75" w14:textId="77777777" w:rsidR="009D70F5" w:rsidRPr="00B832E0" w:rsidRDefault="009D70F5" w:rsidP="00042053">
            <w:pPr>
              <w:pStyle w:val="TableColumnHeadingLeft"/>
            </w:pPr>
            <w:r w:rsidRPr="00B832E0">
              <w:t>Education</w:t>
            </w:r>
          </w:p>
        </w:tc>
      </w:tr>
      <w:tr w:rsidR="00553A18" w:rsidRPr="00B832E0" w14:paraId="004F38FC" w14:textId="77777777" w:rsidTr="00C75A5A">
        <w:trPr>
          <w:trHeight w:val="12"/>
        </w:trPr>
        <w:tc>
          <w:tcPr>
            <w:tcW w:w="2990" w:type="dxa"/>
            <w:shd w:val="clear" w:color="auto" w:fill="auto"/>
          </w:tcPr>
          <w:p w14:paraId="657B510D" w14:textId="6B1E7E11" w:rsidR="00917618" w:rsidRPr="00B832E0" w:rsidRDefault="00917618" w:rsidP="00917618">
            <w:pPr>
              <w:pStyle w:val="TableTextLeft"/>
            </w:pPr>
            <w:r w:rsidRPr="00B832E0">
              <w:t>Higher Education Loan Program</w:t>
            </w:r>
          </w:p>
        </w:tc>
        <w:tc>
          <w:tcPr>
            <w:tcW w:w="1426" w:type="dxa"/>
            <w:gridSpan w:val="2"/>
            <w:shd w:val="clear" w:color="auto" w:fill="auto"/>
          </w:tcPr>
          <w:p w14:paraId="46E1483F" w14:textId="2A0EE87D" w:rsidR="00917618" w:rsidRPr="00B832E0" w:rsidRDefault="00917618" w:rsidP="00917618">
            <w:pPr>
              <w:pStyle w:val="TableTextRight"/>
            </w:pPr>
            <w:r>
              <w:t>4</w:t>
            </w:r>
            <w:r w:rsidR="0066267F">
              <w:t>3</w:t>
            </w:r>
            <w:r>
              <w:t>,</w:t>
            </w:r>
            <w:r w:rsidR="0066267F">
              <w:t>2</w:t>
            </w:r>
            <w:r>
              <w:t>00</w:t>
            </w:r>
          </w:p>
        </w:tc>
        <w:tc>
          <w:tcPr>
            <w:tcW w:w="2990" w:type="dxa"/>
            <w:gridSpan w:val="2"/>
            <w:shd w:val="clear" w:color="auto" w:fill="auto"/>
          </w:tcPr>
          <w:p w14:paraId="4B9D81A3" w14:textId="0429CB7B" w:rsidR="00917618" w:rsidRPr="00B832E0" w:rsidRDefault="00917618" w:rsidP="00917618">
            <w:pPr>
              <w:pStyle w:val="TableTextLeft"/>
            </w:pPr>
            <w:r w:rsidRPr="00B832E0">
              <w:rPr>
                <w:rFonts w:cs="Arial"/>
                <w:szCs w:val="16"/>
              </w:rPr>
              <w:t>Eligible higher education students </w:t>
            </w:r>
          </w:p>
        </w:tc>
        <w:tc>
          <w:tcPr>
            <w:tcW w:w="1524" w:type="dxa"/>
            <w:gridSpan w:val="2"/>
            <w:shd w:val="clear" w:color="auto" w:fill="auto"/>
          </w:tcPr>
          <w:p w14:paraId="74832181" w14:textId="5510310C" w:rsidR="00917618" w:rsidRPr="00B832E0" w:rsidRDefault="00E82B9A" w:rsidP="00917618">
            <w:pPr>
              <w:pStyle w:val="TableTextLeft"/>
            </w:pPr>
            <w:r>
              <w:rPr>
                <w:rFonts w:cs="Arial"/>
                <w:szCs w:val="16"/>
              </w:rPr>
              <w:t xml:space="preserve">The lower of </w:t>
            </w:r>
            <w:r w:rsidR="00AC658A">
              <w:rPr>
                <w:rFonts w:cs="Arial"/>
                <w:szCs w:val="16"/>
              </w:rPr>
              <w:t xml:space="preserve">Wage Price Index (WPI) </w:t>
            </w:r>
            <w:r w:rsidR="00F6732B">
              <w:rPr>
                <w:rFonts w:cs="Arial"/>
                <w:szCs w:val="16"/>
              </w:rPr>
              <w:t xml:space="preserve">or </w:t>
            </w:r>
            <w:r w:rsidR="00917618" w:rsidRPr="00B832E0">
              <w:rPr>
                <w:rFonts w:cs="Arial"/>
                <w:szCs w:val="16"/>
              </w:rPr>
              <w:t xml:space="preserve">Consumer Price Index (CPI) </w:t>
            </w:r>
            <w:r w:rsidR="007A0AA5">
              <w:rPr>
                <w:rFonts w:cs="Arial"/>
                <w:szCs w:val="16"/>
              </w:rPr>
              <w:t>growth</w:t>
            </w:r>
          </w:p>
        </w:tc>
        <w:tc>
          <w:tcPr>
            <w:tcW w:w="1468" w:type="dxa"/>
            <w:gridSpan w:val="2"/>
            <w:shd w:val="clear" w:color="auto" w:fill="auto"/>
          </w:tcPr>
          <w:p w14:paraId="65A94327" w14:textId="0278332D" w:rsidR="00917618" w:rsidRPr="00B832E0" w:rsidRDefault="00917618" w:rsidP="00917618">
            <w:pPr>
              <w:pStyle w:val="TableTextLeft"/>
              <w:rPr>
                <w:color w:val="000000"/>
              </w:rPr>
            </w:pPr>
            <w:r w:rsidRPr="00B832E0">
              <w:rPr>
                <w:rFonts w:cs="Arial"/>
                <w:color w:val="000000"/>
                <w:szCs w:val="16"/>
              </w:rPr>
              <w:t>9.6 years</w:t>
            </w:r>
            <w:r>
              <w:rPr>
                <w:rFonts w:cs="Arial"/>
                <w:color w:val="000000"/>
                <w:szCs w:val="16"/>
              </w:rPr>
              <w:t xml:space="preserve"> (average)</w:t>
            </w:r>
          </w:p>
        </w:tc>
        <w:tc>
          <w:tcPr>
            <w:tcW w:w="1141" w:type="dxa"/>
          </w:tcPr>
          <w:p w14:paraId="29822196" w14:textId="50B10C12" w:rsidR="00917618" w:rsidRPr="00B832E0" w:rsidRDefault="00917618" w:rsidP="00917618">
            <w:pPr>
              <w:pStyle w:val="TableTextLeft"/>
              <w:rPr>
                <w:color w:val="000000"/>
              </w:rPr>
            </w:pPr>
            <w:r>
              <w:rPr>
                <w:rFonts w:cs="Arial"/>
                <w:szCs w:val="16"/>
              </w:rPr>
              <w:t>Modified</w:t>
            </w:r>
            <w:r w:rsidRPr="00B832E0">
              <w:rPr>
                <w:rFonts w:cs="Arial"/>
                <w:szCs w:val="16"/>
              </w:rPr>
              <w:t> </w:t>
            </w:r>
          </w:p>
        </w:tc>
      </w:tr>
      <w:tr w:rsidR="009D70F5" w:rsidRPr="00B832E0" w14:paraId="7B2DBB25" w14:textId="77777777" w:rsidTr="00F01B44">
        <w:trPr>
          <w:trHeight w:val="12"/>
        </w:trPr>
        <w:tc>
          <w:tcPr>
            <w:tcW w:w="11539" w:type="dxa"/>
            <w:gridSpan w:val="10"/>
            <w:shd w:val="clear" w:color="auto" w:fill="E6F2FF"/>
          </w:tcPr>
          <w:p w14:paraId="7A49C594" w14:textId="77777777" w:rsidR="009D70F5" w:rsidRPr="00B832E0" w:rsidRDefault="009D70F5" w:rsidP="00042053">
            <w:pPr>
              <w:pStyle w:val="TableColumnHeadingLeft"/>
            </w:pPr>
            <w:r w:rsidRPr="00B832E0">
              <w:t>Employment and Workplace Relations</w:t>
            </w:r>
          </w:p>
        </w:tc>
      </w:tr>
      <w:tr w:rsidR="00553A18" w:rsidRPr="00B832E0" w14:paraId="6A764D3B" w14:textId="77777777" w:rsidTr="00C75A5A">
        <w:trPr>
          <w:trHeight w:val="12"/>
        </w:trPr>
        <w:tc>
          <w:tcPr>
            <w:tcW w:w="2990" w:type="dxa"/>
            <w:shd w:val="clear" w:color="auto" w:fill="auto"/>
          </w:tcPr>
          <w:p w14:paraId="247176C0" w14:textId="5F7CFAD5" w:rsidR="002F7453" w:rsidRPr="00B832E0" w:rsidRDefault="002F7453" w:rsidP="002F7453">
            <w:pPr>
              <w:pStyle w:val="TableTextLeft"/>
            </w:pPr>
            <w:r w:rsidRPr="005A0A62">
              <w:t xml:space="preserve">Australian Apprenticeship </w:t>
            </w:r>
            <w:r w:rsidRPr="00B832E0">
              <w:t>Support Loans Program</w:t>
            </w:r>
          </w:p>
        </w:tc>
        <w:tc>
          <w:tcPr>
            <w:tcW w:w="1426" w:type="dxa"/>
            <w:gridSpan w:val="2"/>
            <w:shd w:val="clear" w:color="auto" w:fill="auto"/>
          </w:tcPr>
          <w:p w14:paraId="2FE5646A" w14:textId="1177B382" w:rsidR="002F7453" w:rsidRPr="00B832E0" w:rsidRDefault="005C1833" w:rsidP="002F7453">
            <w:pPr>
              <w:pStyle w:val="TableTextRight"/>
            </w:pPr>
            <w:r>
              <w:t>987</w:t>
            </w:r>
          </w:p>
        </w:tc>
        <w:tc>
          <w:tcPr>
            <w:tcW w:w="2990" w:type="dxa"/>
            <w:gridSpan w:val="2"/>
            <w:shd w:val="clear" w:color="auto" w:fill="auto"/>
          </w:tcPr>
          <w:p w14:paraId="0E4A06FC" w14:textId="7F747035" w:rsidR="002F7453" w:rsidRPr="00B832E0" w:rsidRDefault="002F7453" w:rsidP="002F7453">
            <w:pPr>
              <w:pStyle w:val="TableTextLeft"/>
            </w:pPr>
            <w:r w:rsidRPr="00B832E0">
              <w:rPr>
                <w:rFonts w:cs="Arial"/>
                <w:szCs w:val="16"/>
              </w:rPr>
              <w:t>Eligible Australian Apprentices </w:t>
            </w:r>
          </w:p>
        </w:tc>
        <w:tc>
          <w:tcPr>
            <w:tcW w:w="1524" w:type="dxa"/>
            <w:gridSpan w:val="2"/>
            <w:shd w:val="clear" w:color="auto" w:fill="auto"/>
          </w:tcPr>
          <w:p w14:paraId="48FAA82B" w14:textId="6936834E" w:rsidR="002F7453" w:rsidRPr="00B832E0" w:rsidRDefault="002F7453" w:rsidP="002F7453">
            <w:pPr>
              <w:pStyle w:val="TableTextLeft"/>
            </w:pPr>
            <w:r>
              <w:rPr>
                <w:rFonts w:cs="Arial"/>
                <w:szCs w:val="16"/>
              </w:rPr>
              <w:t xml:space="preserve">The lower of WPI </w:t>
            </w:r>
            <w:r w:rsidR="00F6732B">
              <w:rPr>
                <w:rFonts w:cs="Arial"/>
                <w:szCs w:val="16"/>
              </w:rPr>
              <w:t xml:space="preserve">or </w:t>
            </w:r>
            <w:r>
              <w:rPr>
                <w:rFonts w:cs="Arial"/>
                <w:szCs w:val="16"/>
              </w:rPr>
              <w:t>CPI</w:t>
            </w:r>
            <w:r w:rsidRPr="00B832E0">
              <w:rPr>
                <w:rFonts w:cs="Arial"/>
                <w:szCs w:val="16"/>
              </w:rPr>
              <w:t xml:space="preserve"> </w:t>
            </w:r>
            <w:r w:rsidR="009644F1" w:rsidRPr="00B832E0">
              <w:rPr>
                <w:rFonts w:cs="Arial"/>
                <w:szCs w:val="16"/>
              </w:rPr>
              <w:t>growth </w:t>
            </w:r>
          </w:p>
        </w:tc>
        <w:tc>
          <w:tcPr>
            <w:tcW w:w="1468" w:type="dxa"/>
            <w:gridSpan w:val="2"/>
            <w:shd w:val="clear" w:color="auto" w:fill="auto"/>
          </w:tcPr>
          <w:p w14:paraId="5312636B" w14:textId="4926FDE4" w:rsidR="002F7453" w:rsidRPr="00B832E0" w:rsidRDefault="002F7453" w:rsidP="002F7453">
            <w:pPr>
              <w:pStyle w:val="TableTextLeft"/>
              <w:rPr>
                <w:color w:val="000000"/>
              </w:rPr>
            </w:pPr>
            <w:r w:rsidRPr="00B832E0">
              <w:rPr>
                <w:rFonts w:cs="Arial"/>
                <w:color w:val="000000"/>
                <w:szCs w:val="16"/>
              </w:rPr>
              <w:t> </w:t>
            </w:r>
          </w:p>
        </w:tc>
        <w:tc>
          <w:tcPr>
            <w:tcW w:w="1141" w:type="dxa"/>
          </w:tcPr>
          <w:p w14:paraId="037CEBFF" w14:textId="255C86A9" w:rsidR="002F7453" w:rsidRPr="00B832E0" w:rsidRDefault="002F7453" w:rsidP="002F7453">
            <w:pPr>
              <w:pStyle w:val="TableTextLeft"/>
              <w:rPr>
                <w:color w:val="000000"/>
              </w:rPr>
            </w:pPr>
            <w:r>
              <w:rPr>
                <w:rFonts w:cs="Arial"/>
                <w:szCs w:val="16"/>
              </w:rPr>
              <w:t>Modified</w:t>
            </w:r>
            <w:r w:rsidRPr="00B832E0">
              <w:rPr>
                <w:rFonts w:cs="Arial"/>
                <w:szCs w:val="16"/>
              </w:rPr>
              <w:t> </w:t>
            </w:r>
          </w:p>
        </w:tc>
      </w:tr>
      <w:tr w:rsidR="00553A18" w:rsidRPr="00B832E0" w14:paraId="6A15266D" w14:textId="77777777" w:rsidTr="00C75A5A">
        <w:trPr>
          <w:trHeight w:val="12"/>
        </w:trPr>
        <w:tc>
          <w:tcPr>
            <w:tcW w:w="2990" w:type="dxa"/>
            <w:shd w:val="clear" w:color="auto" w:fill="auto"/>
          </w:tcPr>
          <w:p w14:paraId="577DC818" w14:textId="125A24EB" w:rsidR="002F7453" w:rsidRPr="00B832E0" w:rsidRDefault="002F7453" w:rsidP="002F7453">
            <w:pPr>
              <w:pStyle w:val="TableTextLeft"/>
            </w:pPr>
            <w:r w:rsidRPr="00B832E0">
              <w:t>VET Student Loans Program</w:t>
            </w:r>
          </w:p>
        </w:tc>
        <w:tc>
          <w:tcPr>
            <w:tcW w:w="1426" w:type="dxa"/>
            <w:gridSpan w:val="2"/>
            <w:shd w:val="clear" w:color="auto" w:fill="auto"/>
          </w:tcPr>
          <w:p w14:paraId="0F721DA2" w14:textId="56F99317" w:rsidR="002F7453" w:rsidRPr="00B832E0" w:rsidRDefault="002F7453" w:rsidP="002F7453">
            <w:pPr>
              <w:pStyle w:val="TableTextRight"/>
            </w:pPr>
            <w:r>
              <w:t>3,</w:t>
            </w:r>
            <w:r w:rsidR="00A05751">
              <w:t>300</w:t>
            </w:r>
          </w:p>
        </w:tc>
        <w:tc>
          <w:tcPr>
            <w:tcW w:w="2990" w:type="dxa"/>
            <w:gridSpan w:val="2"/>
            <w:shd w:val="clear" w:color="auto" w:fill="auto"/>
          </w:tcPr>
          <w:p w14:paraId="27E78C52" w14:textId="6C2017C6" w:rsidR="002F7453" w:rsidRPr="00B832E0" w:rsidRDefault="002F7453" w:rsidP="002F7453">
            <w:pPr>
              <w:pStyle w:val="TableTextLeft"/>
            </w:pPr>
            <w:r w:rsidRPr="00B832E0">
              <w:rPr>
                <w:rFonts w:cs="Arial"/>
                <w:szCs w:val="16"/>
              </w:rPr>
              <w:t>Eligible diploma and above students </w:t>
            </w:r>
          </w:p>
        </w:tc>
        <w:tc>
          <w:tcPr>
            <w:tcW w:w="1524" w:type="dxa"/>
            <w:gridSpan w:val="2"/>
            <w:shd w:val="clear" w:color="auto" w:fill="auto"/>
          </w:tcPr>
          <w:p w14:paraId="78FEEFAA" w14:textId="6B584164" w:rsidR="002F7453" w:rsidRPr="00B832E0" w:rsidRDefault="00571CBE" w:rsidP="002F7453">
            <w:pPr>
              <w:pStyle w:val="TableTextLeft"/>
            </w:pPr>
            <w:r>
              <w:rPr>
                <w:rFonts w:cs="Arial"/>
                <w:szCs w:val="16"/>
              </w:rPr>
              <w:t xml:space="preserve">The lower of WPI </w:t>
            </w:r>
            <w:r w:rsidR="00F6732B">
              <w:rPr>
                <w:rFonts w:cs="Arial"/>
                <w:szCs w:val="16"/>
              </w:rPr>
              <w:t xml:space="preserve">or </w:t>
            </w:r>
            <w:r>
              <w:rPr>
                <w:rFonts w:cs="Arial"/>
                <w:szCs w:val="16"/>
              </w:rPr>
              <w:t>CPI</w:t>
            </w:r>
            <w:r w:rsidR="009644F1">
              <w:rPr>
                <w:rFonts w:cs="Arial"/>
                <w:szCs w:val="16"/>
              </w:rPr>
              <w:t xml:space="preserve"> growth</w:t>
            </w:r>
          </w:p>
        </w:tc>
        <w:tc>
          <w:tcPr>
            <w:tcW w:w="1468" w:type="dxa"/>
            <w:gridSpan w:val="2"/>
            <w:shd w:val="clear" w:color="auto" w:fill="auto"/>
          </w:tcPr>
          <w:p w14:paraId="673D50B4" w14:textId="06E82571" w:rsidR="002F7453" w:rsidRPr="00B832E0" w:rsidRDefault="002F7453" w:rsidP="002F7453">
            <w:pPr>
              <w:pStyle w:val="TableTextLeft"/>
              <w:rPr>
                <w:color w:val="000000"/>
              </w:rPr>
            </w:pPr>
            <w:r w:rsidRPr="00B832E0">
              <w:rPr>
                <w:rFonts w:cs="Arial"/>
                <w:color w:val="000000"/>
                <w:szCs w:val="16"/>
              </w:rPr>
              <w:t> </w:t>
            </w:r>
          </w:p>
        </w:tc>
        <w:tc>
          <w:tcPr>
            <w:tcW w:w="1141" w:type="dxa"/>
          </w:tcPr>
          <w:p w14:paraId="364E04A6" w14:textId="473EBFEE" w:rsidR="002F7453" w:rsidRPr="00B832E0" w:rsidRDefault="002F7453" w:rsidP="002F7453">
            <w:pPr>
              <w:pStyle w:val="TableTextLeft"/>
            </w:pPr>
            <w:r>
              <w:rPr>
                <w:rFonts w:cs="Arial"/>
                <w:szCs w:val="16"/>
              </w:rPr>
              <w:t>Modified</w:t>
            </w:r>
          </w:p>
        </w:tc>
      </w:tr>
      <w:tr w:rsidR="002F7453" w:rsidRPr="00B832E0" w14:paraId="0BCD7E31" w14:textId="77777777" w:rsidTr="00F01B44">
        <w:trPr>
          <w:trHeight w:val="12"/>
        </w:trPr>
        <w:tc>
          <w:tcPr>
            <w:tcW w:w="11539" w:type="dxa"/>
            <w:gridSpan w:val="10"/>
            <w:shd w:val="clear" w:color="auto" w:fill="E6F2FF"/>
          </w:tcPr>
          <w:p w14:paraId="4870006F" w14:textId="77777777" w:rsidR="002F7453" w:rsidRPr="00B832E0" w:rsidRDefault="002F7453" w:rsidP="002F7453">
            <w:pPr>
              <w:pStyle w:val="TableColumnHeadingLeft"/>
              <w:rPr>
                <w:color w:val="000000"/>
              </w:rPr>
            </w:pPr>
            <w:r w:rsidRPr="00B832E0">
              <w:t>Foreign Affairs and Trade</w:t>
            </w:r>
          </w:p>
        </w:tc>
      </w:tr>
      <w:tr w:rsidR="00F01B44" w:rsidRPr="00B832E0" w14:paraId="663E16E5" w14:textId="77777777" w:rsidTr="00C75A5A">
        <w:trPr>
          <w:trHeight w:val="12"/>
        </w:trPr>
        <w:tc>
          <w:tcPr>
            <w:tcW w:w="2990" w:type="dxa"/>
            <w:shd w:val="clear" w:color="auto" w:fill="auto"/>
          </w:tcPr>
          <w:p w14:paraId="0F98F620" w14:textId="3F577FBF" w:rsidR="00F01B44" w:rsidRDefault="00F01B44" w:rsidP="00F01B44">
            <w:pPr>
              <w:pStyle w:val="TableTextLeft"/>
            </w:pPr>
            <w:r>
              <w:t>Government support for PsiQuantum</w:t>
            </w:r>
            <w:r w:rsidR="00281B41">
              <w:t xml:space="preserve"> Pty Ltd</w:t>
            </w:r>
          </w:p>
        </w:tc>
        <w:tc>
          <w:tcPr>
            <w:tcW w:w="1426" w:type="dxa"/>
            <w:gridSpan w:val="2"/>
            <w:shd w:val="clear" w:color="auto" w:fill="auto"/>
          </w:tcPr>
          <w:p w14:paraId="7A26E244" w14:textId="3BA49E3A" w:rsidR="00F01B44" w:rsidRDefault="00F01B44" w:rsidP="00F01B44">
            <w:pPr>
              <w:pStyle w:val="TableTextRight"/>
            </w:pPr>
            <w:r>
              <w:t>Commercial</w:t>
            </w:r>
            <w:r w:rsidR="00D737F9">
              <w:noBreakHyphen/>
            </w:r>
            <w:r w:rsidR="00043578">
              <w:br/>
            </w:r>
            <w:r>
              <w:t>in</w:t>
            </w:r>
            <w:r w:rsidR="00D737F9">
              <w:noBreakHyphen/>
            </w:r>
            <w:r>
              <w:t>confidence</w:t>
            </w:r>
          </w:p>
        </w:tc>
        <w:tc>
          <w:tcPr>
            <w:tcW w:w="2990" w:type="dxa"/>
            <w:gridSpan w:val="2"/>
            <w:shd w:val="clear" w:color="auto" w:fill="auto"/>
          </w:tcPr>
          <w:p w14:paraId="40C35732" w14:textId="3532AFDB" w:rsidR="00F01B44" w:rsidRPr="00B832E0" w:rsidRDefault="00F01B44" w:rsidP="00F01B44">
            <w:pPr>
              <w:pStyle w:val="TableTextLeft"/>
              <w:rPr>
                <w:rFonts w:cs="Arial"/>
                <w:szCs w:val="16"/>
              </w:rPr>
            </w:pPr>
            <w:r>
              <w:rPr>
                <w:rFonts w:cs="Arial"/>
                <w:szCs w:val="16"/>
              </w:rPr>
              <w:t>PsiQuantum</w:t>
            </w:r>
            <w:r w:rsidR="00281B41">
              <w:rPr>
                <w:rFonts w:cs="Arial"/>
                <w:szCs w:val="16"/>
              </w:rPr>
              <w:t xml:space="preserve"> Pty Ltd</w:t>
            </w:r>
          </w:p>
        </w:tc>
        <w:tc>
          <w:tcPr>
            <w:tcW w:w="1524" w:type="dxa"/>
            <w:gridSpan w:val="2"/>
            <w:shd w:val="clear" w:color="auto" w:fill="auto"/>
          </w:tcPr>
          <w:p w14:paraId="20F4E2D2" w14:textId="1C5EB229" w:rsidR="00F01B44" w:rsidRPr="00B832E0" w:rsidRDefault="00F01B44" w:rsidP="00F01B44">
            <w:pPr>
              <w:pStyle w:val="TableTextLeft"/>
              <w:rPr>
                <w:rFonts w:cs="Arial"/>
                <w:szCs w:val="16"/>
              </w:rPr>
            </w:pPr>
            <w:r>
              <w:t>Commercial</w:t>
            </w:r>
            <w:r w:rsidR="00D737F9">
              <w:noBreakHyphen/>
            </w:r>
            <w:r w:rsidR="00043578">
              <w:br/>
            </w:r>
            <w:r>
              <w:t>in</w:t>
            </w:r>
            <w:r w:rsidR="00D737F9">
              <w:noBreakHyphen/>
            </w:r>
            <w:r>
              <w:t>confidence</w:t>
            </w:r>
          </w:p>
        </w:tc>
        <w:tc>
          <w:tcPr>
            <w:tcW w:w="1468" w:type="dxa"/>
            <w:gridSpan w:val="2"/>
            <w:shd w:val="clear" w:color="auto" w:fill="auto"/>
          </w:tcPr>
          <w:p w14:paraId="6DAE5AF8" w14:textId="648CE7C2" w:rsidR="00F01B44" w:rsidRPr="00B832E0" w:rsidRDefault="00F01B44" w:rsidP="00F01B44">
            <w:pPr>
              <w:pStyle w:val="TableTextLeft"/>
              <w:rPr>
                <w:rFonts w:cs="Arial"/>
                <w:szCs w:val="16"/>
              </w:rPr>
            </w:pPr>
            <w:r>
              <w:t>Commercial</w:t>
            </w:r>
            <w:r w:rsidR="00D737F9">
              <w:noBreakHyphen/>
            </w:r>
            <w:r>
              <w:t>in</w:t>
            </w:r>
            <w:r w:rsidR="00D737F9">
              <w:noBreakHyphen/>
            </w:r>
            <w:r w:rsidR="00BC5205">
              <w:br/>
            </w:r>
            <w:r>
              <w:t>confidence</w:t>
            </w:r>
          </w:p>
        </w:tc>
        <w:tc>
          <w:tcPr>
            <w:tcW w:w="1141" w:type="dxa"/>
          </w:tcPr>
          <w:p w14:paraId="54E4BD46" w14:textId="419CAA2B" w:rsidR="00F01B44" w:rsidRDefault="00F01B44" w:rsidP="00F01B44">
            <w:pPr>
              <w:pStyle w:val="TableTextLeft"/>
              <w:rPr>
                <w:rFonts w:cs="Arial"/>
                <w:szCs w:val="16"/>
              </w:rPr>
            </w:pPr>
            <w:r>
              <w:rPr>
                <w:rFonts w:cs="Arial"/>
                <w:szCs w:val="16"/>
              </w:rPr>
              <w:t>New</w:t>
            </w:r>
          </w:p>
        </w:tc>
      </w:tr>
      <w:tr w:rsidR="00F01B44" w:rsidRPr="00B832E0" w14:paraId="19C9C77E" w14:textId="77777777" w:rsidTr="00C75A5A">
        <w:trPr>
          <w:trHeight w:val="12"/>
        </w:trPr>
        <w:tc>
          <w:tcPr>
            <w:tcW w:w="2990" w:type="dxa"/>
            <w:shd w:val="clear" w:color="auto" w:fill="auto"/>
          </w:tcPr>
          <w:p w14:paraId="0D6F8762" w14:textId="0D3A1E7C" w:rsidR="00F01B44" w:rsidRPr="00B832E0" w:rsidRDefault="00F01B44" w:rsidP="00F01B44">
            <w:pPr>
              <w:pStyle w:val="TableTextLeft"/>
              <w:rPr>
                <w:vertAlign w:val="superscript"/>
              </w:rPr>
            </w:pPr>
            <w:r>
              <w:t>Telstra acquisition of Digicel Pacific</w:t>
            </w:r>
          </w:p>
        </w:tc>
        <w:tc>
          <w:tcPr>
            <w:tcW w:w="1426" w:type="dxa"/>
            <w:gridSpan w:val="2"/>
            <w:shd w:val="clear" w:color="auto" w:fill="auto"/>
          </w:tcPr>
          <w:p w14:paraId="0AA9762C" w14:textId="67FB3F14" w:rsidR="00F01B44" w:rsidRPr="00B832E0" w:rsidRDefault="00F01B44" w:rsidP="00F01B44">
            <w:pPr>
              <w:pStyle w:val="TableTextRight"/>
            </w:pPr>
            <w:r>
              <w:t xml:space="preserve">2,029 </w:t>
            </w:r>
          </w:p>
        </w:tc>
        <w:tc>
          <w:tcPr>
            <w:tcW w:w="2990" w:type="dxa"/>
            <w:gridSpan w:val="2"/>
            <w:shd w:val="clear" w:color="auto" w:fill="auto"/>
          </w:tcPr>
          <w:p w14:paraId="222738F9" w14:textId="6736FE51" w:rsidR="00F01B44" w:rsidRPr="00B832E0" w:rsidRDefault="00F01B44" w:rsidP="00F01B44">
            <w:pPr>
              <w:pStyle w:val="TableTextLeft"/>
            </w:pPr>
            <w:r w:rsidRPr="00B832E0">
              <w:rPr>
                <w:rFonts w:cs="Arial"/>
                <w:szCs w:val="16"/>
              </w:rPr>
              <w:t>Telstra </w:t>
            </w:r>
          </w:p>
        </w:tc>
        <w:tc>
          <w:tcPr>
            <w:tcW w:w="1524" w:type="dxa"/>
            <w:gridSpan w:val="2"/>
            <w:shd w:val="clear" w:color="auto" w:fill="auto"/>
          </w:tcPr>
          <w:p w14:paraId="55C16AC4" w14:textId="2A2F2890" w:rsidR="00F01B44" w:rsidRPr="00B832E0" w:rsidRDefault="00F01B44" w:rsidP="00F01B44">
            <w:pPr>
              <w:pStyle w:val="TableTextLeft"/>
            </w:pPr>
            <w:r w:rsidRPr="00B832E0">
              <w:rPr>
                <w:rFonts w:cs="Arial"/>
                <w:szCs w:val="16"/>
              </w:rPr>
              <w:t>Commercial</w:t>
            </w:r>
            <w:r w:rsidR="00D737F9">
              <w:rPr>
                <w:rFonts w:cs="Arial"/>
                <w:szCs w:val="16"/>
              </w:rPr>
              <w:noBreakHyphen/>
            </w:r>
            <w:r w:rsidR="00043578">
              <w:rPr>
                <w:rFonts w:cs="Arial"/>
                <w:szCs w:val="16"/>
              </w:rPr>
              <w:br/>
            </w:r>
            <w:r w:rsidRPr="00B832E0">
              <w:rPr>
                <w:rFonts w:cs="Arial"/>
                <w:szCs w:val="16"/>
              </w:rPr>
              <w:t>in</w:t>
            </w:r>
            <w:r w:rsidR="00D737F9">
              <w:rPr>
                <w:rFonts w:cs="Arial"/>
                <w:szCs w:val="16"/>
              </w:rPr>
              <w:noBreakHyphen/>
            </w:r>
            <w:r w:rsidRPr="00B832E0">
              <w:rPr>
                <w:rFonts w:cs="Arial"/>
                <w:szCs w:val="16"/>
              </w:rPr>
              <w:t>confidence </w:t>
            </w:r>
          </w:p>
        </w:tc>
        <w:tc>
          <w:tcPr>
            <w:tcW w:w="1468" w:type="dxa"/>
            <w:gridSpan w:val="2"/>
            <w:shd w:val="clear" w:color="auto" w:fill="auto"/>
          </w:tcPr>
          <w:p w14:paraId="7829D7E3" w14:textId="122264B5" w:rsidR="00F01B44" w:rsidRPr="00B832E0" w:rsidRDefault="00F01B44" w:rsidP="00F01B44">
            <w:pPr>
              <w:pStyle w:val="TableTextLeft"/>
            </w:pPr>
            <w:r w:rsidRPr="00B832E0">
              <w:rPr>
                <w:rFonts w:cs="Arial"/>
                <w:szCs w:val="16"/>
              </w:rPr>
              <w:t>Various </w:t>
            </w:r>
          </w:p>
        </w:tc>
        <w:tc>
          <w:tcPr>
            <w:tcW w:w="1141" w:type="dxa"/>
          </w:tcPr>
          <w:p w14:paraId="784C14E0" w14:textId="1E4C58C3" w:rsidR="00F01B44" w:rsidRPr="00B832E0" w:rsidRDefault="00F01B44" w:rsidP="00F01B44">
            <w:pPr>
              <w:pStyle w:val="TableTextLeft"/>
            </w:pPr>
            <w:r>
              <w:rPr>
                <w:rFonts w:cs="Arial"/>
                <w:szCs w:val="16"/>
              </w:rPr>
              <w:t>Modified</w:t>
            </w:r>
          </w:p>
        </w:tc>
      </w:tr>
      <w:tr w:rsidR="00C75A5A" w:rsidRPr="00B832E0" w14:paraId="6F17F7F0" w14:textId="77777777" w:rsidTr="00DD4701">
        <w:trPr>
          <w:trHeight w:val="16"/>
        </w:trPr>
        <w:tc>
          <w:tcPr>
            <w:tcW w:w="11539" w:type="dxa"/>
            <w:gridSpan w:val="10"/>
            <w:shd w:val="clear" w:color="auto" w:fill="E6F2FF"/>
          </w:tcPr>
          <w:p w14:paraId="37AC7BD9" w14:textId="77777777" w:rsidR="00C75A5A" w:rsidRDefault="00C75A5A" w:rsidP="00DD4701">
            <w:pPr>
              <w:pStyle w:val="TableColumnHeadingLeft"/>
            </w:pPr>
            <w:r w:rsidRPr="00B832E0">
              <w:t>Industry, Science and Resources</w:t>
            </w:r>
          </w:p>
        </w:tc>
      </w:tr>
      <w:tr w:rsidR="00C75A5A" w:rsidRPr="00B832E0" w14:paraId="43F81D39" w14:textId="77777777" w:rsidTr="00DD4701">
        <w:trPr>
          <w:trHeight w:val="16"/>
        </w:trPr>
        <w:tc>
          <w:tcPr>
            <w:tcW w:w="2990" w:type="dxa"/>
          </w:tcPr>
          <w:p w14:paraId="058FB6AA" w14:textId="77777777" w:rsidR="00C75A5A" w:rsidRPr="00B832E0" w:rsidRDefault="00C75A5A" w:rsidP="00DD4701">
            <w:pPr>
              <w:pStyle w:val="TableTextLeft"/>
            </w:pPr>
            <w:r>
              <w:t>National Reconstruction Fund Corporation</w:t>
            </w:r>
            <w:r w:rsidRPr="00CC5694">
              <w:rPr>
                <w:rFonts w:cs="Arial"/>
                <w:sz w:val="18"/>
                <w:szCs w:val="18"/>
                <w:vertAlign w:val="superscript"/>
              </w:rPr>
              <w:t>(c)</w:t>
            </w:r>
          </w:p>
        </w:tc>
        <w:tc>
          <w:tcPr>
            <w:tcW w:w="1405" w:type="dxa"/>
            <w:shd w:val="clear" w:color="auto" w:fill="auto"/>
          </w:tcPr>
          <w:p w14:paraId="755F50A0" w14:textId="77777777" w:rsidR="00C75A5A" w:rsidRDefault="00C75A5A" w:rsidP="00DD4701">
            <w:pPr>
              <w:pStyle w:val="TableTextRight"/>
            </w:pPr>
            <w:r>
              <w:t>Various</w:t>
            </w:r>
          </w:p>
        </w:tc>
        <w:tc>
          <w:tcPr>
            <w:tcW w:w="2989" w:type="dxa"/>
            <w:gridSpan w:val="2"/>
            <w:shd w:val="clear" w:color="auto" w:fill="auto"/>
          </w:tcPr>
          <w:p w14:paraId="64A50528" w14:textId="77777777" w:rsidR="00C75A5A" w:rsidRPr="00B832E0" w:rsidRDefault="00C75A5A" w:rsidP="00DD4701">
            <w:pPr>
              <w:pStyle w:val="TableTextLeft"/>
            </w:pPr>
            <w:r w:rsidRPr="00B832E0">
              <w:t xml:space="preserve">To be determined </w:t>
            </w:r>
          </w:p>
        </w:tc>
        <w:tc>
          <w:tcPr>
            <w:tcW w:w="1481" w:type="dxa"/>
            <w:gridSpan w:val="2"/>
            <w:shd w:val="clear" w:color="auto" w:fill="auto"/>
          </w:tcPr>
          <w:p w14:paraId="29C3B343" w14:textId="77777777" w:rsidR="00C75A5A" w:rsidRPr="00B832E0" w:rsidRDefault="00C75A5A" w:rsidP="00DD4701">
            <w:pPr>
              <w:pStyle w:val="TableTextLeft"/>
            </w:pPr>
            <w:r w:rsidRPr="00B832E0">
              <w:t>To be determined</w:t>
            </w:r>
            <w:r>
              <w:t> </w:t>
            </w:r>
          </w:p>
        </w:tc>
        <w:tc>
          <w:tcPr>
            <w:tcW w:w="1453" w:type="dxa"/>
            <w:gridSpan w:val="2"/>
            <w:shd w:val="clear" w:color="auto" w:fill="auto"/>
          </w:tcPr>
          <w:p w14:paraId="53C0E21D" w14:textId="77777777" w:rsidR="00C75A5A" w:rsidRPr="00B832E0" w:rsidRDefault="00C75A5A" w:rsidP="00DD4701">
            <w:pPr>
              <w:pStyle w:val="TableTextLeft"/>
            </w:pPr>
            <w:r w:rsidRPr="00B832E0">
              <w:t>To be determined </w:t>
            </w:r>
          </w:p>
        </w:tc>
        <w:tc>
          <w:tcPr>
            <w:tcW w:w="1221" w:type="dxa"/>
            <w:gridSpan w:val="2"/>
            <w:shd w:val="clear" w:color="auto" w:fill="auto"/>
          </w:tcPr>
          <w:p w14:paraId="29AF4508" w14:textId="77777777" w:rsidR="00C75A5A" w:rsidRDefault="00C75A5A" w:rsidP="00DD4701">
            <w:pPr>
              <w:pStyle w:val="TableTextLeft"/>
            </w:pPr>
            <w:r>
              <w:t>Modified</w:t>
            </w:r>
            <w:r w:rsidRPr="00B832E0">
              <w:t> </w:t>
            </w:r>
          </w:p>
        </w:tc>
      </w:tr>
    </w:tbl>
    <w:p w14:paraId="59B49E80" w14:textId="77777777" w:rsidR="009D70F5" w:rsidRPr="00B832E0" w:rsidRDefault="009D70F5" w:rsidP="009D70F5">
      <w:pPr>
        <w:pStyle w:val="TableHeadingcontinued"/>
        <w:rPr>
          <w:rFonts w:eastAsia="Arial"/>
        </w:rPr>
      </w:pPr>
      <w:bookmarkStart w:id="213" w:name="_Hlk71274754"/>
      <w:bookmarkStart w:id="214" w:name="_Hlk71311815"/>
      <w:r w:rsidRPr="00B832E0">
        <w:rPr>
          <w:rFonts w:eastAsia="Arial"/>
        </w:rPr>
        <w:lastRenderedPageBreak/>
        <w:t>Table 9.3: Summary of Australian Government loans meeting the materiality threshold (continued)</w:t>
      </w:r>
      <w:bookmarkEnd w:id="213"/>
    </w:p>
    <w:tbl>
      <w:tblPr>
        <w:tblW w:w="4998"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984"/>
        <w:gridCol w:w="1405"/>
        <w:gridCol w:w="2986"/>
        <w:gridCol w:w="1481"/>
        <w:gridCol w:w="1453"/>
        <w:gridCol w:w="1225"/>
      </w:tblGrid>
      <w:tr w:rsidR="00F601E8" w:rsidRPr="00B832E0" w14:paraId="0CD8F376" w14:textId="77777777" w:rsidTr="00037FA4">
        <w:trPr>
          <w:trHeight w:val="16"/>
          <w:tblHeader/>
        </w:trPr>
        <w:tc>
          <w:tcPr>
            <w:tcW w:w="2985" w:type="dxa"/>
            <w:shd w:val="clear" w:color="auto" w:fill="E6F2FF"/>
            <w:vAlign w:val="bottom"/>
          </w:tcPr>
          <w:p w14:paraId="01318B6A" w14:textId="25878D66" w:rsidR="009D70F5" w:rsidRPr="00B832E0" w:rsidRDefault="00C26B08" w:rsidP="00042053">
            <w:pPr>
              <w:pStyle w:val="TableColumnHeadingLeft"/>
            </w:pPr>
            <w:bookmarkStart w:id="215" w:name="_Hlk165618902"/>
            <w:bookmarkEnd w:id="214"/>
            <w:r>
              <w:t>Portfolio</w:t>
            </w:r>
            <w:r w:rsidR="00323602">
              <w:br/>
            </w:r>
          </w:p>
        </w:tc>
        <w:tc>
          <w:tcPr>
            <w:tcW w:w="1405" w:type="dxa"/>
            <w:shd w:val="clear" w:color="auto" w:fill="E6F2FF"/>
          </w:tcPr>
          <w:p w14:paraId="64BE1F19" w14:textId="77777777" w:rsidR="009D70F5" w:rsidRPr="00B832E0" w:rsidRDefault="009D70F5" w:rsidP="00323602">
            <w:pPr>
              <w:pStyle w:val="TableColumnHeadingRight"/>
              <w:rPr>
                <w:rFonts w:ascii="Arial" w:hAnsi="Arial" w:cs="Arial"/>
                <w:szCs w:val="16"/>
              </w:rPr>
            </w:pPr>
            <w:r w:rsidRPr="00B832E0">
              <w:t>Loan amount</w:t>
            </w:r>
            <w:r w:rsidRPr="00B832E0">
              <w:rPr>
                <w:sz w:val="18"/>
                <w:szCs w:val="18"/>
                <w:vertAlign w:val="superscript"/>
              </w:rPr>
              <w:t xml:space="preserve">(a) </w:t>
            </w:r>
            <w:r w:rsidRPr="00B832E0">
              <w:rPr>
                <w:szCs w:val="16"/>
              </w:rPr>
              <w:t>($m)</w:t>
            </w:r>
          </w:p>
        </w:tc>
        <w:tc>
          <w:tcPr>
            <w:tcW w:w="2986" w:type="dxa"/>
            <w:shd w:val="clear" w:color="auto" w:fill="E6F2FF"/>
            <w:vAlign w:val="bottom"/>
          </w:tcPr>
          <w:p w14:paraId="6CBBE7C2" w14:textId="5C48450A" w:rsidR="009D70F5" w:rsidRPr="00B832E0" w:rsidRDefault="009D70F5" w:rsidP="00042053">
            <w:pPr>
              <w:pStyle w:val="TableColumnHeadingLeft"/>
              <w:rPr>
                <w:rFonts w:ascii="Arial" w:hAnsi="Arial" w:cs="Arial"/>
                <w:szCs w:val="16"/>
              </w:rPr>
            </w:pPr>
            <w:r w:rsidRPr="00B832E0">
              <w:t>Borrower</w:t>
            </w:r>
            <w:r w:rsidR="00323602">
              <w:br/>
            </w:r>
          </w:p>
        </w:tc>
        <w:tc>
          <w:tcPr>
            <w:tcW w:w="1481" w:type="dxa"/>
            <w:shd w:val="clear" w:color="auto" w:fill="E6F2FF"/>
            <w:vAlign w:val="bottom"/>
          </w:tcPr>
          <w:p w14:paraId="7FB6F56F" w14:textId="5B8D794E" w:rsidR="009D70F5" w:rsidRPr="00B832E0" w:rsidRDefault="009D70F5" w:rsidP="00042053">
            <w:pPr>
              <w:pStyle w:val="TableColumnHeadingLeft"/>
              <w:rPr>
                <w:rFonts w:ascii="Arial" w:hAnsi="Arial" w:cs="Arial"/>
                <w:szCs w:val="16"/>
              </w:rPr>
            </w:pPr>
            <w:r w:rsidRPr="00B832E0">
              <w:t>Interest rate</w:t>
            </w:r>
            <w:r w:rsidR="00323602">
              <w:br/>
            </w:r>
          </w:p>
        </w:tc>
        <w:tc>
          <w:tcPr>
            <w:tcW w:w="1453" w:type="dxa"/>
            <w:shd w:val="clear" w:color="auto" w:fill="E6F2FF"/>
            <w:vAlign w:val="bottom"/>
          </w:tcPr>
          <w:p w14:paraId="28F29C2F" w14:textId="5D739C05" w:rsidR="009D70F5" w:rsidRPr="00B832E0" w:rsidRDefault="009D70F5" w:rsidP="00042053">
            <w:pPr>
              <w:pStyle w:val="TableColumnHeadingLeft"/>
              <w:rPr>
                <w:rFonts w:ascii="Arial" w:hAnsi="Arial" w:cs="Arial"/>
                <w:szCs w:val="16"/>
              </w:rPr>
            </w:pPr>
            <w:r w:rsidRPr="00B832E0">
              <w:t>Term</w:t>
            </w:r>
            <w:r w:rsidR="00323602">
              <w:br/>
            </w:r>
          </w:p>
        </w:tc>
        <w:tc>
          <w:tcPr>
            <w:tcW w:w="1224" w:type="dxa"/>
            <w:shd w:val="clear" w:color="auto" w:fill="E6F2FF"/>
            <w:vAlign w:val="bottom"/>
          </w:tcPr>
          <w:p w14:paraId="7E5E9076" w14:textId="16C9D58E" w:rsidR="009D70F5" w:rsidRPr="00B832E0" w:rsidRDefault="009D70F5" w:rsidP="00042053">
            <w:pPr>
              <w:pStyle w:val="TableColumnHeadingLeft"/>
              <w:rPr>
                <w:rFonts w:ascii="Arial" w:hAnsi="Arial" w:cs="Arial"/>
                <w:szCs w:val="16"/>
              </w:rPr>
            </w:pPr>
            <w:r w:rsidRPr="00B832E0">
              <w:t>Status</w:t>
            </w:r>
            <w:r w:rsidRPr="00B832E0">
              <w:rPr>
                <w:sz w:val="18"/>
                <w:szCs w:val="18"/>
                <w:vertAlign w:val="superscript"/>
              </w:rPr>
              <w:t>(b)</w:t>
            </w:r>
            <w:r w:rsidR="00323602">
              <w:rPr>
                <w:sz w:val="18"/>
                <w:szCs w:val="18"/>
                <w:vertAlign w:val="superscript"/>
              </w:rPr>
              <w:br/>
            </w:r>
          </w:p>
        </w:tc>
      </w:tr>
      <w:tr w:rsidR="00D76D70" w:rsidRPr="00B832E0" w14:paraId="781F8A92" w14:textId="77777777" w:rsidTr="00102244">
        <w:trPr>
          <w:trHeight w:val="16"/>
        </w:trPr>
        <w:tc>
          <w:tcPr>
            <w:tcW w:w="11534" w:type="dxa"/>
            <w:gridSpan w:val="6"/>
            <w:shd w:val="clear" w:color="auto" w:fill="E6F2FF"/>
          </w:tcPr>
          <w:p w14:paraId="4AE6177A" w14:textId="42794D1F" w:rsidR="00D76D70" w:rsidRDefault="00D76D70" w:rsidP="00D76D70">
            <w:pPr>
              <w:pStyle w:val="TableColumnHeadingLeft"/>
            </w:pPr>
            <w:r w:rsidRPr="00D76D70">
              <w:t>Infrastructure, Transport, Regional Development, Communications and the Arts</w:t>
            </w:r>
          </w:p>
        </w:tc>
      </w:tr>
      <w:bookmarkEnd w:id="215"/>
      <w:tr w:rsidR="00E2734D" w:rsidRPr="00B832E0" w14:paraId="3143B8E5" w14:textId="77777777" w:rsidTr="00037FA4">
        <w:trPr>
          <w:trHeight w:val="16"/>
        </w:trPr>
        <w:tc>
          <w:tcPr>
            <w:tcW w:w="2985" w:type="dxa"/>
          </w:tcPr>
          <w:p w14:paraId="6B9CC553" w14:textId="187DD05F" w:rsidR="00E2734D" w:rsidRPr="00B832E0" w:rsidRDefault="00E2734D" w:rsidP="00E2734D">
            <w:pPr>
              <w:pStyle w:val="TableTextLeft"/>
            </w:pPr>
            <w:r w:rsidRPr="00B832E0">
              <w:t>NBN Co Loan</w:t>
            </w:r>
          </w:p>
        </w:tc>
        <w:tc>
          <w:tcPr>
            <w:tcW w:w="1405" w:type="dxa"/>
            <w:shd w:val="clear" w:color="auto" w:fill="auto"/>
          </w:tcPr>
          <w:p w14:paraId="784AFECE" w14:textId="4DCDA2D8" w:rsidR="00E2734D" w:rsidRPr="00B832E0" w:rsidRDefault="00D737F9" w:rsidP="00E2734D">
            <w:pPr>
              <w:pStyle w:val="TableTextRight"/>
            </w:pPr>
            <w:r>
              <w:noBreakHyphen/>
            </w:r>
          </w:p>
        </w:tc>
        <w:tc>
          <w:tcPr>
            <w:tcW w:w="2986" w:type="dxa"/>
            <w:shd w:val="clear" w:color="auto" w:fill="auto"/>
          </w:tcPr>
          <w:p w14:paraId="701E1633" w14:textId="60F7DEAC" w:rsidR="00E2734D" w:rsidRPr="00B832E0" w:rsidRDefault="00E2734D" w:rsidP="00E2734D">
            <w:pPr>
              <w:pStyle w:val="TableTextLeft"/>
            </w:pPr>
            <w:r w:rsidRPr="00B832E0">
              <w:t>NBN Co Limited </w:t>
            </w:r>
          </w:p>
        </w:tc>
        <w:tc>
          <w:tcPr>
            <w:tcW w:w="1481" w:type="dxa"/>
            <w:shd w:val="clear" w:color="auto" w:fill="auto"/>
          </w:tcPr>
          <w:p w14:paraId="4D469BFC" w14:textId="7C32F878" w:rsidR="00E2734D" w:rsidRPr="00B832E0" w:rsidRDefault="00E2734D" w:rsidP="00E2734D">
            <w:pPr>
              <w:pStyle w:val="TableTextLeft"/>
            </w:pPr>
            <w:r w:rsidRPr="00B832E0">
              <w:t>3.96</w:t>
            </w:r>
            <w:r>
              <w:t> per cent </w:t>
            </w:r>
          </w:p>
        </w:tc>
        <w:tc>
          <w:tcPr>
            <w:tcW w:w="1453" w:type="dxa"/>
            <w:shd w:val="clear" w:color="auto" w:fill="auto"/>
          </w:tcPr>
          <w:p w14:paraId="28DAFD52" w14:textId="3BDC8A15" w:rsidR="00E2734D" w:rsidRPr="00B832E0" w:rsidRDefault="00E2734D" w:rsidP="00E2734D">
            <w:pPr>
              <w:pStyle w:val="TableTextLeft"/>
            </w:pPr>
            <w:r w:rsidRPr="00B832E0">
              <w:t>30 June 2024 </w:t>
            </w:r>
          </w:p>
        </w:tc>
        <w:tc>
          <w:tcPr>
            <w:tcW w:w="1224" w:type="dxa"/>
            <w:shd w:val="clear" w:color="auto" w:fill="auto"/>
          </w:tcPr>
          <w:p w14:paraId="74350668" w14:textId="151849B2" w:rsidR="00E2734D" w:rsidRPr="00B832E0" w:rsidRDefault="00E2734D" w:rsidP="00E2734D">
            <w:pPr>
              <w:pStyle w:val="TableTextLeft"/>
            </w:pPr>
            <w:r>
              <w:t>Removed</w:t>
            </w:r>
            <w:r w:rsidRPr="00B832E0">
              <w:t> </w:t>
            </w:r>
          </w:p>
        </w:tc>
      </w:tr>
      <w:tr w:rsidR="00E2734D" w:rsidRPr="00B832E0" w14:paraId="414B1CD1" w14:textId="77777777" w:rsidTr="00037FA4">
        <w:trPr>
          <w:trHeight w:val="16"/>
        </w:trPr>
        <w:tc>
          <w:tcPr>
            <w:tcW w:w="2985" w:type="dxa"/>
          </w:tcPr>
          <w:p w14:paraId="0E18FF70" w14:textId="461D81AC" w:rsidR="00E2734D" w:rsidRPr="00B832E0" w:rsidRDefault="00E2734D" w:rsidP="00E2734D">
            <w:pPr>
              <w:pStyle w:val="TableTextLeft"/>
            </w:pPr>
            <w:r w:rsidRPr="00B832E0">
              <w:t>Northern Australia Infrastructure Facility Loans</w:t>
            </w:r>
          </w:p>
        </w:tc>
        <w:tc>
          <w:tcPr>
            <w:tcW w:w="1405" w:type="dxa"/>
            <w:shd w:val="clear" w:color="auto" w:fill="auto"/>
          </w:tcPr>
          <w:p w14:paraId="700C21C8" w14:textId="47EF8ED5" w:rsidR="00E2734D" w:rsidRPr="00B832E0" w:rsidRDefault="00E2734D" w:rsidP="00E2734D">
            <w:pPr>
              <w:pStyle w:val="TableTextRight"/>
            </w:pPr>
            <w:r>
              <w:t>1,500</w:t>
            </w:r>
          </w:p>
        </w:tc>
        <w:tc>
          <w:tcPr>
            <w:tcW w:w="2986" w:type="dxa"/>
            <w:shd w:val="clear" w:color="auto" w:fill="auto"/>
          </w:tcPr>
          <w:p w14:paraId="1C78FB68" w14:textId="6A2778D7" w:rsidR="00E2734D" w:rsidRPr="00B832E0" w:rsidRDefault="00E2734D" w:rsidP="00E2734D">
            <w:pPr>
              <w:pStyle w:val="TableTextLeft"/>
            </w:pPr>
            <w:r w:rsidRPr="00B832E0">
              <w:t>Northern Australia jurisdictions (Western Australia, Queensland or the</w:t>
            </w:r>
            <w:r w:rsidR="00BC5205">
              <w:t> </w:t>
            </w:r>
            <w:r w:rsidRPr="00B832E0">
              <w:t>Northern Territory) for on lending to project proponents. The NAIF Investment Mandate Direction 2021 additionally allows for provision of financial assistance directly to other</w:t>
            </w:r>
            <w:r w:rsidR="00BC5205">
              <w:t> </w:t>
            </w:r>
            <w:r w:rsidRPr="00B832E0">
              <w:t>entities </w:t>
            </w:r>
          </w:p>
        </w:tc>
        <w:tc>
          <w:tcPr>
            <w:tcW w:w="1481" w:type="dxa"/>
            <w:shd w:val="clear" w:color="auto" w:fill="auto"/>
          </w:tcPr>
          <w:p w14:paraId="68518119" w14:textId="734B7CCA" w:rsidR="00E2734D" w:rsidRPr="00B832E0" w:rsidRDefault="00E2734D" w:rsidP="00E2734D">
            <w:pPr>
              <w:pStyle w:val="TableTextLeft"/>
            </w:pPr>
            <w:r w:rsidRPr="00B832E0">
              <w:t>Various (circa</w:t>
            </w:r>
            <w:r>
              <w:t xml:space="preserve">. </w:t>
            </w:r>
            <w:r w:rsidRPr="00B832E0">
              <w:br/>
              <w:t>5</w:t>
            </w:r>
            <w:r>
              <w:t> per cent</w:t>
            </w:r>
            <w:r w:rsidRPr="00B832E0">
              <w:t>) </w:t>
            </w:r>
          </w:p>
        </w:tc>
        <w:tc>
          <w:tcPr>
            <w:tcW w:w="1453" w:type="dxa"/>
            <w:shd w:val="clear" w:color="auto" w:fill="auto"/>
          </w:tcPr>
          <w:p w14:paraId="19D27E64" w14:textId="7BFB6494" w:rsidR="00E2734D" w:rsidRPr="00B832E0" w:rsidRDefault="00E2734D" w:rsidP="00E2734D">
            <w:pPr>
              <w:pStyle w:val="TableTextLeft"/>
            </w:pPr>
            <w:r w:rsidRPr="00B832E0">
              <w:t>Various </w:t>
            </w:r>
          </w:p>
        </w:tc>
        <w:tc>
          <w:tcPr>
            <w:tcW w:w="1224" w:type="dxa"/>
            <w:shd w:val="clear" w:color="auto" w:fill="auto"/>
          </w:tcPr>
          <w:p w14:paraId="3B4781CB" w14:textId="3942226E" w:rsidR="00E2734D" w:rsidRPr="00B832E0" w:rsidRDefault="00E2734D" w:rsidP="00E2734D">
            <w:pPr>
              <w:pStyle w:val="TableTextLeft"/>
            </w:pPr>
            <w:r>
              <w:t>Modified</w:t>
            </w:r>
            <w:r w:rsidRPr="00B832E0">
              <w:t> </w:t>
            </w:r>
          </w:p>
        </w:tc>
      </w:tr>
      <w:tr w:rsidR="00E2734D" w:rsidRPr="00B832E0" w14:paraId="220F4AA2" w14:textId="77777777" w:rsidTr="00037FA4">
        <w:trPr>
          <w:trHeight w:val="16"/>
        </w:trPr>
        <w:tc>
          <w:tcPr>
            <w:tcW w:w="2985" w:type="dxa"/>
          </w:tcPr>
          <w:p w14:paraId="799D501E" w14:textId="7486A801" w:rsidR="00E2734D" w:rsidRPr="00B832E0" w:rsidRDefault="00E2734D" w:rsidP="00E2734D">
            <w:pPr>
              <w:pStyle w:val="TableTextLeft"/>
            </w:pPr>
            <w:r w:rsidRPr="00B832E0">
              <w:t xml:space="preserve">WestConnex Stage 2 Concessional Loan </w:t>
            </w:r>
          </w:p>
        </w:tc>
        <w:tc>
          <w:tcPr>
            <w:tcW w:w="1405" w:type="dxa"/>
            <w:shd w:val="clear" w:color="auto" w:fill="auto"/>
          </w:tcPr>
          <w:p w14:paraId="23179911" w14:textId="226081A6" w:rsidR="00E2734D" w:rsidRPr="00B832E0" w:rsidRDefault="00E2734D" w:rsidP="00E2734D">
            <w:pPr>
              <w:pStyle w:val="TableTextRight"/>
            </w:pPr>
            <w:r>
              <w:rPr>
                <w:rFonts w:cs="Arial"/>
                <w:szCs w:val="16"/>
              </w:rPr>
              <w:t>2</w:t>
            </w:r>
            <w:r w:rsidRPr="00B832E0">
              <w:rPr>
                <w:rFonts w:cs="Arial"/>
                <w:szCs w:val="16"/>
              </w:rPr>
              <w:t>,</w:t>
            </w:r>
            <w:r>
              <w:rPr>
                <w:rFonts w:cs="Arial"/>
                <w:szCs w:val="16"/>
              </w:rPr>
              <w:t>266</w:t>
            </w:r>
          </w:p>
        </w:tc>
        <w:tc>
          <w:tcPr>
            <w:tcW w:w="2986" w:type="dxa"/>
            <w:shd w:val="clear" w:color="auto" w:fill="auto"/>
          </w:tcPr>
          <w:p w14:paraId="5B57F8EA" w14:textId="0AAD976A" w:rsidR="00E2734D" w:rsidRPr="0031307F" w:rsidRDefault="00E2734D" w:rsidP="00E2734D">
            <w:pPr>
              <w:pStyle w:val="TableTextLeft"/>
              <w:rPr>
                <w:lang w:val="it-IT"/>
              </w:rPr>
            </w:pPr>
            <w:r w:rsidRPr="0031307F">
              <w:rPr>
                <w:rFonts w:cs="Arial"/>
                <w:szCs w:val="16"/>
                <w:lang w:val="it-IT"/>
              </w:rPr>
              <w:t>WCX M5 Finco Pty Ltd </w:t>
            </w:r>
          </w:p>
        </w:tc>
        <w:tc>
          <w:tcPr>
            <w:tcW w:w="1481" w:type="dxa"/>
            <w:shd w:val="clear" w:color="auto" w:fill="auto"/>
          </w:tcPr>
          <w:p w14:paraId="58F51DBF" w14:textId="66624640" w:rsidR="00E2734D" w:rsidRPr="00B832E0" w:rsidRDefault="00E2734D" w:rsidP="00E2734D">
            <w:pPr>
              <w:pStyle w:val="TableTextLeft"/>
            </w:pPr>
            <w:r w:rsidRPr="00B832E0">
              <w:rPr>
                <w:rFonts w:cs="Arial"/>
                <w:szCs w:val="16"/>
              </w:rPr>
              <w:t>3.36</w:t>
            </w:r>
            <w:r>
              <w:rPr>
                <w:rFonts w:cs="Arial"/>
                <w:szCs w:val="16"/>
              </w:rPr>
              <w:t> per cent </w:t>
            </w:r>
          </w:p>
        </w:tc>
        <w:tc>
          <w:tcPr>
            <w:tcW w:w="1453" w:type="dxa"/>
            <w:shd w:val="clear" w:color="auto" w:fill="auto"/>
          </w:tcPr>
          <w:p w14:paraId="4E830213" w14:textId="76B3CEE6" w:rsidR="00E2734D" w:rsidRPr="00B832E0" w:rsidRDefault="00E2734D" w:rsidP="00E2734D">
            <w:pPr>
              <w:pStyle w:val="TableTextLeft"/>
            </w:pPr>
            <w:r w:rsidRPr="00B832E0">
              <w:rPr>
                <w:rFonts w:cs="Arial"/>
                <w:szCs w:val="16"/>
              </w:rPr>
              <w:t>November 2015 to July 2034 </w:t>
            </w:r>
          </w:p>
        </w:tc>
        <w:tc>
          <w:tcPr>
            <w:tcW w:w="1224" w:type="dxa"/>
            <w:shd w:val="clear" w:color="auto" w:fill="auto"/>
          </w:tcPr>
          <w:p w14:paraId="12F37D01" w14:textId="27B18720" w:rsidR="00E2734D" w:rsidRPr="00B832E0" w:rsidRDefault="00E2734D" w:rsidP="00E2734D">
            <w:pPr>
              <w:pStyle w:val="TableTextLeft"/>
            </w:pPr>
            <w:r w:rsidRPr="00B832E0">
              <w:rPr>
                <w:rFonts w:cs="Arial"/>
                <w:szCs w:val="16"/>
              </w:rPr>
              <w:t>Unchanged </w:t>
            </w:r>
          </w:p>
        </w:tc>
      </w:tr>
      <w:tr w:rsidR="00E2734D" w:rsidRPr="00B832E0" w14:paraId="362CC750" w14:textId="77777777" w:rsidTr="00102244">
        <w:trPr>
          <w:trHeight w:val="16"/>
        </w:trPr>
        <w:tc>
          <w:tcPr>
            <w:tcW w:w="11534" w:type="dxa"/>
            <w:gridSpan w:val="6"/>
            <w:shd w:val="clear" w:color="auto" w:fill="E6F2FF"/>
          </w:tcPr>
          <w:p w14:paraId="3FAEF654" w14:textId="77777777" w:rsidR="00E2734D" w:rsidRPr="00B832E0" w:rsidRDefault="00E2734D" w:rsidP="00E2734D">
            <w:pPr>
              <w:pStyle w:val="TableColumnHeadingLeft"/>
              <w:rPr>
                <w:rFonts w:cs="Arial"/>
                <w:szCs w:val="16"/>
              </w:rPr>
            </w:pPr>
            <w:r w:rsidRPr="00B832E0">
              <w:t>Prime Minister and Cabinet</w:t>
            </w:r>
          </w:p>
        </w:tc>
      </w:tr>
      <w:tr w:rsidR="00E2734D" w:rsidRPr="00B832E0" w14:paraId="56AD6856" w14:textId="77777777" w:rsidTr="00037FA4">
        <w:trPr>
          <w:trHeight w:val="16"/>
        </w:trPr>
        <w:tc>
          <w:tcPr>
            <w:tcW w:w="2985" w:type="dxa"/>
          </w:tcPr>
          <w:p w14:paraId="6EE716E2" w14:textId="3C01CA8D" w:rsidR="00E2734D" w:rsidRPr="00B832E0" w:rsidRDefault="00E2734D" w:rsidP="00E2734D">
            <w:pPr>
              <w:pStyle w:val="TableTextLeft"/>
            </w:pPr>
            <w:r w:rsidRPr="00B832E0">
              <w:t>Indigenous home ownership, business development and assistance</w:t>
            </w:r>
          </w:p>
        </w:tc>
        <w:tc>
          <w:tcPr>
            <w:tcW w:w="1405" w:type="dxa"/>
            <w:shd w:val="clear" w:color="auto" w:fill="auto"/>
          </w:tcPr>
          <w:p w14:paraId="3265DF9A" w14:textId="29102B05" w:rsidR="00E2734D" w:rsidRPr="00B832E0" w:rsidRDefault="00E2734D" w:rsidP="00E2734D">
            <w:pPr>
              <w:pStyle w:val="TableTextRight"/>
            </w:pPr>
            <w:r>
              <w:t>1,028</w:t>
            </w:r>
          </w:p>
        </w:tc>
        <w:tc>
          <w:tcPr>
            <w:tcW w:w="2986" w:type="dxa"/>
            <w:shd w:val="clear" w:color="auto" w:fill="auto"/>
          </w:tcPr>
          <w:p w14:paraId="093FE865" w14:textId="31638E93" w:rsidR="00E2734D" w:rsidRPr="00B832E0" w:rsidRDefault="00E2734D" w:rsidP="00E2734D">
            <w:pPr>
              <w:pStyle w:val="TableTextLeft"/>
            </w:pPr>
            <w:r w:rsidRPr="00B832E0">
              <w:t>Eligible Indigenous persons </w:t>
            </w:r>
          </w:p>
        </w:tc>
        <w:tc>
          <w:tcPr>
            <w:tcW w:w="1481" w:type="dxa"/>
            <w:shd w:val="clear" w:color="auto" w:fill="auto"/>
          </w:tcPr>
          <w:p w14:paraId="73C32F2C" w14:textId="6A45FC04" w:rsidR="00E2734D" w:rsidRPr="00B832E0" w:rsidRDefault="00E2734D" w:rsidP="00E2734D">
            <w:pPr>
              <w:pStyle w:val="TableTextLeft"/>
            </w:pPr>
            <w:r>
              <w:t>1.64 per cent – 6.14 per cent </w:t>
            </w:r>
          </w:p>
        </w:tc>
        <w:tc>
          <w:tcPr>
            <w:tcW w:w="1453" w:type="dxa"/>
            <w:shd w:val="clear" w:color="auto" w:fill="auto"/>
          </w:tcPr>
          <w:p w14:paraId="21F5ABF0" w14:textId="5486815C" w:rsidR="00E2734D" w:rsidRPr="00B832E0" w:rsidRDefault="00E2734D" w:rsidP="00E2734D">
            <w:pPr>
              <w:pStyle w:val="TableTextLeft"/>
            </w:pPr>
            <w:r w:rsidRPr="00B832E0">
              <w:t>Up to 32 years </w:t>
            </w:r>
          </w:p>
        </w:tc>
        <w:tc>
          <w:tcPr>
            <w:tcW w:w="1224" w:type="dxa"/>
            <w:shd w:val="clear" w:color="auto" w:fill="auto"/>
          </w:tcPr>
          <w:p w14:paraId="68D1E0E4" w14:textId="51446238" w:rsidR="00E2734D" w:rsidRPr="00B832E0" w:rsidRDefault="00E2734D" w:rsidP="00E2734D">
            <w:pPr>
              <w:pStyle w:val="TableTextLeft"/>
            </w:pPr>
            <w:r>
              <w:t>Unchanged</w:t>
            </w:r>
            <w:r w:rsidRPr="00B832E0">
              <w:t> </w:t>
            </w:r>
          </w:p>
        </w:tc>
      </w:tr>
      <w:tr w:rsidR="00E2734D" w:rsidRPr="00B832E0" w14:paraId="12069DDF" w14:textId="77777777" w:rsidTr="00037FA4">
        <w:trPr>
          <w:trHeight w:val="16"/>
        </w:trPr>
        <w:tc>
          <w:tcPr>
            <w:tcW w:w="2985" w:type="dxa"/>
          </w:tcPr>
          <w:p w14:paraId="55889F74" w14:textId="02DF0B2E" w:rsidR="00E2734D" w:rsidRPr="00B832E0" w:rsidRDefault="00E2734D" w:rsidP="00E2734D">
            <w:pPr>
              <w:pStyle w:val="TableTextLeft"/>
            </w:pPr>
            <w:r w:rsidRPr="00B832E0">
              <w:t>Voyages Indigenous Tourism Australia Pty Ltd</w:t>
            </w:r>
          </w:p>
        </w:tc>
        <w:tc>
          <w:tcPr>
            <w:tcW w:w="1405" w:type="dxa"/>
          </w:tcPr>
          <w:p w14:paraId="755A1AC6" w14:textId="7B3A5B86" w:rsidR="00E2734D" w:rsidRPr="00B832E0" w:rsidRDefault="00E2734D" w:rsidP="00E2734D">
            <w:pPr>
              <w:pStyle w:val="TableTextRight"/>
            </w:pPr>
            <w:r>
              <w:t>335</w:t>
            </w:r>
          </w:p>
        </w:tc>
        <w:tc>
          <w:tcPr>
            <w:tcW w:w="2986" w:type="dxa"/>
          </w:tcPr>
          <w:p w14:paraId="1CC224E1" w14:textId="16F26BE5" w:rsidR="00E2734D" w:rsidRPr="00B832E0" w:rsidRDefault="00E2734D" w:rsidP="00E2734D">
            <w:pPr>
              <w:pStyle w:val="TableTextLeft"/>
            </w:pPr>
            <w:r w:rsidRPr="00B832E0">
              <w:t>Voyages Indigenous Tourism Australia Pty Ltd </w:t>
            </w:r>
          </w:p>
        </w:tc>
        <w:tc>
          <w:tcPr>
            <w:tcW w:w="1481" w:type="dxa"/>
          </w:tcPr>
          <w:p w14:paraId="5F0D8475" w14:textId="1C08EC47" w:rsidR="00E2734D" w:rsidRPr="00B832E0" w:rsidRDefault="00E2734D" w:rsidP="00E2734D">
            <w:pPr>
              <w:pStyle w:val="TableTextLeft"/>
            </w:pPr>
            <w:r w:rsidRPr="00B832E0">
              <w:t xml:space="preserve">90 Day bank bill swap reference rate </w:t>
            </w:r>
            <w:r>
              <w:t xml:space="preserve">plus </w:t>
            </w:r>
            <w:r w:rsidRPr="00B832E0">
              <w:t>5</w:t>
            </w:r>
            <w:r>
              <w:t> </w:t>
            </w:r>
            <w:r w:rsidRPr="00B832E0">
              <w:t>per cent </w:t>
            </w:r>
            <w:r w:rsidR="00043578">
              <w:br/>
            </w:r>
            <w:r>
              <w:t>(on $176 million of principal)</w:t>
            </w:r>
          </w:p>
        </w:tc>
        <w:tc>
          <w:tcPr>
            <w:tcW w:w="1453" w:type="dxa"/>
          </w:tcPr>
          <w:p w14:paraId="249F699A" w14:textId="68EF02F4" w:rsidR="00E2734D" w:rsidRPr="00B832E0" w:rsidRDefault="00E2734D" w:rsidP="00E2734D">
            <w:pPr>
              <w:pStyle w:val="TableTextLeft"/>
            </w:pPr>
            <w:r w:rsidRPr="00B832E0">
              <w:t>9 years, 11 months </w:t>
            </w:r>
          </w:p>
        </w:tc>
        <w:tc>
          <w:tcPr>
            <w:tcW w:w="1224" w:type="dxa"/>
          </w:tcPr>
          <w:p w14:paraId="12A2FE68" w14:textId="284D5038" w:rsidR="00E2734D" w:rsidRPr="00B832E0" w:rsidRDefault="00E2734D" w:rsidP="00E2734D">
            <w:pPr>
              <w:pStyle w:val="TableTextLeft"/>
            </w:pPr>
            <w:r>
              <w:t>Unchanged</w:t>
            </w:r>
            <w:r w:rsidRPr="00B832E0">
              <w:t> </w:t>
            </w:r>
          </w:p>
        </w:tc>
      </w:tr>
      <w:tr w:rsidR="00E2734D" w:rsidRPr="00B832E0" w14:paraId="7EC0AF6D" w14:textId="77777777" w:rsidTr="00037FA4">
        <w:trPr>
          <w:trHeight w:val="16"/>
        </w:trPr>
        <w:tc>
          <w:tcPr>
            <w:tcW w:w="2985" w:type="dxa"/>
            <w:shd w:val="clear" w:color="auto" w:fill="E6F2FF"/>
          </w:tcPr>
          <w:p w14:paraId="22E32F6F" w14:textId="77777777" w:rsidR="00E2734D" w:rsidRPr="00B832E0" w:rsidRDefault="00E2734D" w:rsidP="00E2734D">
            <w:pPr>
              <w:pStyle w:val="TableColumnHeadingLeft"/>
            </w:pPr>
            <w:r w:rsidRPr="00B832E0">
              <w:t>Social Services</w:t>
            </w:r>
          </w:p>
        </w:tc>
        <w:tc>
          <w:tcPr>
            <w:tcW w:w="8549" w:type="dxa"/>
            <w:gridSpan w:val="5"/>
            <w:shd w:val="clear" w:color="auto" w:fill="E6F2FF"/>
          </w:tcPr>
          <w:p w14:paraId="009F6A61" w14:textId="77777777" w:rsidR="00E2734D" w:rsidRPr="00B832E0" w:rsidRDefault="00E2734D" w:rsidP="00E2734D">
            <w:pPr>
              <w:pStyle w:val="TableColumnHeadingLeft"/>
              <w:rPr>
                <w:rFonts w:cs="Arial"/>
                <w:szCs w:val="16"/>
              </w:rPr>
            </w:pPr>
          </w:p>
        </w:tc>
      </w:tr>
      <w:tr w:rsidR="00E2734D" w:rsidRPr="00B832E0" w14:paraId="2220BEB3" w14:textId="77777777" w:rsidTr="00037FA4">
        <w:trPr>
          <w:trHeight w:val="16"/>
        </w:trPr>
        <w:tc>
          <w:tcPr>
            <w:tcW w:w="2985" w:type="dxa"/>
          </w:tcPr>
          <w:p w14:paraId="4116DE89" w14:textId="2E684D25" w:rsidR="00E2734D" w:rsidRPr="00B832E0" w:rsidRDefault="00E2734D" w:rsidP="00E2734D">
            <w:pPr>
              <w:pStyle w:val="TableTextLeft"/>
              <w:rPr>
                <w:rFonts w:cs="Arial"/>
                <w:szCs w:val="16"/>
              </w:rPr>
            </w:pPr>
            <w:r w:rsidRPr="00B832E0">
              <w:rPr>
                <w:rFonts w:cs="Arial"/>
                <w:szCs w:val="16"/>
              </w:rPr>
              <w:t>Home Equity Access Scheme</w:t>
            </w:r>
          </w:p>
        </w:tc>
        <w:tc>
          <w:tcPr>
            <w:tcW w:w="1405" w:type="dxa"/>
            <w:shd w:val="clear" w:color="auto" w:fill="auto"/>
          </w:tcPr>
          <w:p w14:paraId="25640F67" w14:textId="0BE9EB37" w:rsidR="00E2734D" w:rsidRPr="00B832E0" w:rsidRDefault="00E2734D" w:rsidP="00E2734D">
            <w:pPr>
              <w:pStyle w:val="TableTextRight"/>
              <w:rPr>
                <w:rFonts w:cs="Arial"/>
                <w:szCs w:val="16"/>
              </w:rPr>
            </w:pPr>
            <w:r>
              <w:rPr>
                <w:rFonts w:cs="Arial"/>
                <w:szCs w:val="16"/>
              </w:rPr>
              <w:t>401</w:t>
            </w:r>
          </w:p>
        </w:tc>
        <w:tc>
          <w:tcPr>
            <w:tcW w:w="2986" w:type="dxa"/>
            <w:shd w:val="clear" w:color="auto" w:fill="auto"/>
          </w:tcPr>
          <w:p w14:paraId="0AAFAFE6" w14:textId="71C4D1DC" w:rsidR="00E2734D" w:rsidRPr="00B832E0" w:rsidRDefault="00E2734D" w:rsidP="00E2734D">
            <w:pPr>
              <w:pStyle w:val="TableTextLeft"/>
              <w:rPr>
                <w:rFonts w:cs="Arial"/>
                <w:szCs w:val="16"/>
              </w:rPr>
            </w:pPr>
            <w:r>
              <w:rPr>
                <w:rFonts w:cs="Arial"/>
                <w:szCs w:val="16"/>
              </w:rPr>
              <w:t>Eligible older Australians</w:t>
            </w:r>
            <w:r w:rsidRPr="00B832E0">
              <w:rPr>
                <w:rFonts w:cs="Arial"/>
                <w:szCs w:val="16"/>
              </w:rPr>
              <w:t xml:space="preserve"> who meet residency requirements</w:t>
            </w:r>
            <w:r>
              <w:rPr>
                <w:rFonts w:cs="Arial"/>
                <w:szCs w:val="16"/>
              </w:rPr>
              <w:t xml:space="preserve"> </w:t>
            </w:r>
            <w:r w:rsidRPr="0007389D">
              <w:rPr>
                <w:rFonts w:cs="Arial"/>
                <w:szCs w:val="16"/>
              </w:rPr>
              <w:t>and own suitable real estate in Australia to use as security.</w:t>
            </w:r>
          </w:p>
        </w:tc>
        <w:tc>
          <w:tcPr>
            <w:tcW w:w="1481" w:type="dxa"/>
            <w:shd w:val="clear" w:color="auto" w:fill="auto"/>
          </w:tcPr>
          <w:p w14:paraId="10FBB6FE" w14:textId="13FC4D82" w:rsidR="00E2734D" w:rsidRPr="00B832E0" w:rsidRDefault="00E2734D" w:rsidP="00E2734D">
            <w:pPr>
              <w:pStyle w:val="TableTextLeft"/>
              <w:rPr>
                <w:rFonts w:cs="Arial"/>
                <w:szCs w:val="16"/>
              </w:rPr>
            </w:pPr>
            <w:r w:rsidRPr="00B832E0">
              <w:rPr>
                <w:rFonts w:cs="Arial"/>
                <w:szCs w:val="16"/>
              </w:rPr>
              <w:t>3.95</w:t>
            </w:r>
            <w:r>
              <w:rPr>
                <w:rFonts w:cs="Arial"/>
                <w:szCs w:val="16"/>
              </w:rPr>
              <w:t> per cent</w:t>
            </w:r>
          </w:p>
        </w:tc>
        <w:tc>
          <w:tcPr>
            <w:tcW w:w="1453" w:type="dxa"/>
            <w:shd w:val="clear" w:color="auto" w:fill="auto"/>
          </w:tcPr>
          <w:p w14:paraId="23A7D6BD" w14:textId="0CBEE9A0" w:rsidR="00E2734D" w:rsidRPr="00B832E0" w:rsidRDefault="00E2734D" w:rsidP="00E2734D">
            <w:pPr>
              <w:pStyle w:val="TableTextLeft"/>
              <w:rPr>
                <w:rFonts w:cs="Arial"/>
                <w:szCs w:val="16"/>
              </w:rPr>
            </w:pPr>
            <w:r w:rsidRPr="00B832E0">
              <w:rPr>
                <w:rFonts w:cs="Arial"/>
                <w:szCs w:val="16"/>
              </w:rPr>
              <w:t>Various</w:t>
            </w:r>
          </w:p>
        </w:tc>
        <w:tc>
          <w:tcPr>
            <w:tcW w:w="1224" w:type="dxa"/>
          </w:tcPr>
          <w:p w14:paraId="78E5C76E" w14:textId="363696CA" w:rsidR="00E2734D" w:rsidRPr="00B832E0" w:rsidRDefault="00E2734D" w:rsidP="00E2734D">
            <w:pPr>
              <w:pStyle w:val="TableTextLeft"/>
              <w:rPr>
                <w:rFonts w:cs="Arial"/>
                <w:szCs w:val="16"/>
              </w:rPr>
            </w:pPr>
            <w:r>
              <w:rPr>
                <w:rFonts w:cs="Arial"/>
                <w:szCs w:val="16"/>
              </w:rPr>
              <w:t>Unchanged</w:t>
            </w:r>
          </w:p>
        </w:tc>
      </w:tr>
      <w:tr w:rsidR="00E2734D" w:rsidRPr="00B832E0" w14:paraId="6754A5D9" w14:textId="77777777" w:rsidTr="00037FA4">
        <w:trPr>
          <w:trHeight w:val="16"/>
        </w:trPr>
        <w:tc>
          <w:tcPr>
            <w:tcW w:w="2985" w:type="dxa"/>
          </w:tcPr>
          <w:p w14:paraId="5D4096B1" w14:textId="244A4F8B" w:rsidR="00E2734D" w:rsidRPr="00B832E0" w:rsidRDefault="00E2734D" w:rsidP="00E2734D">
            <w:pPr>
              <w:pStyle w:val="TableTextLeft"/>
            </w:pPr>
            <w:r w:rsidRPr="00B832E0">
              <w:t>Student Financial Supplement Scheme</w:t>
            </w:r>
          </w:p>
        </w:tc>
        <w:tc>
          <w:tcPr>
            <w:tcW w:w="1405" w:type="dxa"/>
            <w:shd w:val="clear" w:color="auto" w:fill="auto"/>
          </w:tcPr>
          <w:p w14:paraId="11E1F0F3" w14:textId="3C20B39D" w:rsidR="00E2734D" w:rsidRPr="00B832E0" w:rsidDel="00583E3C" w:rsidRDefault="00E2734D" w:rsidP="00E2734D">
            <w:pPr>
              <w:pStyle w:val="TableTextRight"/>
            </w:pPr>
            <w:r>
              <w:rPr>
                <w:rFonts w:cs="Arial"/>
                <w:szCs w:val="16"/>
              </w:rPr>
              <w:t>181</w:t>
            </w:r>
          </w:p>
        </w:tc>
        <w:tc>
          <w:tcPr>
            <w:tcW w:w="2986" w:type="dxa"/>
            <w:shd w:val="clear" w:color="auto" w:fill="auto"/>
          </w:tcPr>
          <w:p w14:paraId="23E55C4B" w14:textId="41EF2B46" w:rsidR="00E2734D" w:rsidRPr="00B832E0" w:rsidRDefault="00E2734D" w:rsidP="00E2734D">
            <w:pPr>
              <w:pStyle w:val="TableTextLeft"/>
            </w:pPr>
            <w:r w:rsidRPr="00B832E0">
              <w:rPr>
                <w:rFonts w:cs="Arial"/>
                <w:szCs w:val="16"/>
              </w:rPr>
              <w:t>Eligible recipients of Youth Allowance (student), Austudy and ABSTUDY recipients </w:t>
            </w:r>
          </w:p>
        </w:tc>
        <w:tc>
          <w:tcPr>
            <w:tcW w:w="1481" w:type="dxa"/>
            <w:shd w:val="clear" w:color="auto" w:fill="auto"/>
          </w:tcPr>
          <w:p w14:paraId="31125DB2" w14:textId="578A7526" w:rsidR="00E2734D" w:rsidRPr="00B832E0" w:rsidRDefault="00E2734D" w:rsidP="00E2734D">
            <w:pPr>
              <w:pStyle w:val="TableTextLeft"/>
            </w:pPr>
            <w:r w:rsidRPr="00B832E0">
              <w:rPr>
                <w:rFonts w:cs="Arial"/>
                <w:szCs w:val="16"/>
              </w:rPr>
              <w:t>CPI growth </w:t>
            </w:r>
          </w:p>
        </w:tc>
        <w:tc>
          <w:tcPr>
            <w:tcW w:w="1453" w:type="dxa"/>
            <w:shd w:val="clear" w:color="auto" w:fill="auto"/>
          </w:tcPr>
          <w:p w14:paraId="28A15533" w14:textId="72C88E85" w:rsidR="00E2734D" w:rsidRPr="00B832E0" w:rsidRDefault="00E2734D" w:rsidP="00E2734D">
            <w:pPr>
              <w:pStyle w:val="TableTextLeft"/>
            </w:pPr>
            <w:r w:rsidRPr="00B832E0">
              <w:rPr>
                <w:rFonts w:cs="Arial"/>
                <w:szCs w:val="16"/>
              </w:rPr>
              <w:t>Various </w:t>
            </w:r>
          </w:p>
        </w:tc>
        <w:tc>
          <w:tcPr>
            <w:tcW w:w="1224" w:type="dxa"/>
          </w:tcPr>
          <w:p w14:paraId="504E4FB5" w14:textId="7C932A3B" w:rsidR="00E2734D" w:rsidRPr="00B832E0" w:rsidRDefault="00E2734D" w:rsidP="00E2734D">
            <w:pPr>
              <w:pStyle w:val="TableTextLeft"/>
            </w:pPr>
            <w:r>
              <w:rPr>
                <w:rFonts w:cs="Arial"/>
                <w:szCs w:val="16"/>
              </w:rPr>
              <w:t>Unchanged</w:t>
            </w:r>
            <w:r w:rsidRPr="00B832E0">
              <w:rPr>
                <w:rFonts w:cs="Arial"/>
                <w:szCs w:val="16"/>
              </w:rPr>
              <w:t> </w:t>
            </w:r>
          </w:p>
        </w:tc>
      </w:tr>
      <w:tr w:rsidR="00C75A5A" w:rsidRPr="00B832E0" w14:paraId="5B39FD9D" w14:textId="77777777" w:rsidTr="00037FA4">
        <w:trPr>
          <w:trHeight w:val="16"/>
        </w:trPr>
        <w:tc>
          <w:tcPr>
            <w:tcW w:w="2985" w:type="dxa"/>
            <w:shd w:val="clear" w:color="auto" w:fill="auto"/>
          </w:tcPr>
          <w:p w14:paraId="5492D175" w14:textId="77777777" w:rsidR="00C75A5A" w:rsidRPr="003D19C7" w:rsidRDefault="00C75A5A" w:rsidP="00DD4701">
            <w:pPr>
              <w:pStyle w:val="TableTextLeft"/>
            </w:pPr>
            <w:r w:rsidRPr="003D19C7">
              <w:t>Student Start</w:t>
            </w:r>
            <w:r w:rsidRPr="003D19C7">
              <w:noBreakHyphen/>
              <w:t>up Loan</w:t>
            </w:r>
          </w:p>
        </w:tc>
        <w:tc>
          <w:tcPr>
            <w:tcW w:w="1405" w:type="dxa"/>
            <w:shd w:val="clear" w:color="auto" w:fill="auto"/>
          </w:tcPr>
          <w:p w14:paraId="1F7A55A4" w14:textId="77777777" w:rsidR="00C75A5A" w:rsidRPr="00A3688D" w:rsidRDefault="00C75A5A" w:rsidP="00DD4701">
            <w:pPr>
              <w:pStyle w:val="TableTextRight"/>
            </w:pPr>
            <w:r w:rsidRPr="00A3688D">
              <w:t>839</w:t>
            </w:r>
          </w:p>
        </w:tc>
        <w:tc>
          <w:tcPr>
            <w:tcW w:w="2986" w:type="dxa"/>
            <w:shd w:val="clear" w:color="auto" w:fill="auto"/>
          </w:tcPr>
          <w:p w14:paraId="333429C7" w14:textId="77777777" w:rsidR="00C75A5A" w:rsidRPr="00A3688D" w:rsidRDefault="00C75A5A" w:rsidP="00DD4701">
            <w:pPr>
              <w:pStyle w:val="TableTextLeft"/>
            </w:pPr>
            <w:r w:rsidRPr="00A3688D">
              <w:t>Eligible Youth Allowance (student), Austudy and ABSTUDY Living Allowance recipients </w:t>
            </w:r>
          </w:p>
        </w:tc>
        <w:tc>
          <w:tcPr>
            <w:tcW w:w="1481" w:type="dxa"/>
            <w:shd w:val="clear" w:color="auto" w:fill="auto"/>
          </w:tcPr>
          <w:p w14:paraId="73338FC8" w14:textId="77777777" w:rsidR="00C75A5A" w:rsidRPr="00A3688D" w:rsidRDefault="00C75A5A" w:rsidP="00DD4701">
            <w:pPr>
              <w:pStyle w:val="TableTextLeft"/>
            </w:pPr>
            <w:r w:rsidRPr="00A3688D">
              <w:t>The lower of WPI or CPI growth</w:t>
            </w:r>
          </w:p>
        </w:tc>
        <w:tc>
          <w:tcPr>
            <w:tcW w:w="1453" w:type="dxa"/>
            <w:shd w:val="clear" w:color="auto" w:fill="auto"/>
          </w:tcPr>
          <w:p w14:paraId="1C1FD95B" w14:textId="77777777" w:rsidR="00C75A5A" w:rsidRPr="00A3688D" w:rsidRDefault="00C75A5A" w:rsidP="00DD4701">
            <w:pPr>
              <w:pStyle w:val="TableTextLeft"/>
            </w:pPr>
            <w:r w:rsidRPr="00A3688D">
              <w:t>Various </w:t>
            </w:r>
          </w:p>
        </w:tc>
        <w:tc>
          <w:tcPr>
            <w:tcW w:w="1225" w:type="dxa"/>
            <w:shd w:val="clear" w:color="auto" w:fill="auto"/>
          </w:tcPr>
          <w:p w14:paraId="0CE2288A" w14:textId="6D0CF944" w:rsidR="00C75A5A" w:rsidRPr="00A3688D" w:rsidRDefault="00C75A5A" w:rsidP="00DD4701">
            <w:pPr>
              <w:pStyle w:val="TableTextLeft"/>
            </w:pPr>
            <w:r w:rsidRPr="00A3688D">
              <w:t>Modified </w:t>
            </w:r>
          </w:p>
        </w:tc>
      </w:tr>
    </w:tbl>
    <w:p w14:paraId="415C74F4" w14:textId="77777777" w:rsidR="009D70F5" w:rsidRPr="00B832E0" w:rsidRDefault="009D70F5" w:rsidP="009D70F5">
      <w:pPr>
        <w:pStyle w:val="TableHeadingcontinued"/>
        <w:rPr>
          <w:rFonts w:eastAsia="Arial"/>
        </w:rPr>
      </w:pPr>
      <w:r w:rsidRPr="00B832E0">
        <w:rPr>
          <w:rFonts w:eastAsia="Arial"/>
        </w:rPr>
        <w:lastRenderedPageBreak/>
        <w:t>Table 9.3: Summary of Australian Government loans meeting the materiality threshold (continued)</w:t>
      </w:r>
    </w:p>
    <w:tbl>
      <w:tblPr>
        <w:tblW w:w="5000" w:type="pct"/>
        <w:tblBorders>
          <w:top w:val="single" w:sz="4" w:space="0" w:color="002A54" w:themeColor="text2"/>
          <w:bottom w:val="single" w:sz="4" w:space="0" w:color="002A54" w:themeColor="text2"/>
          <w:insideH w:val="single" w:sz="4" w:space="0" w:color="002A54" w:themeColor="text2"/>
        </w:tblBorders>
        <w:tblLayout w:type="fixed"/>
        <w:tblLook w:val="04A0" w:firstRow="1" w:lastRow="0" w:firstColumn="1" w:lastColumn="0" w:noHBand="0" w:noVBand="1"/>
        <w:tblCaption w:val="Table"/>
      </w:tblPr>
      <w:tblGrid>
        <w:gridCol w:w="2961"/>
        <w:gridCol w:w="1403"/>
        <w:gridCol w:w="2820"/>
        <w:gridCol w:w="1971"/>
        <w:gridCol w:w="1207"/>
        <w:gridCol w:w="1177"/>
      </w:tblGrid>
      <w:tr w:rsidR="00CB2EBF" w:rsidRPr="00B832E0" w14:paraId="61CF6A03" w14:textId="77777777" w:rsidTr="00CB2EBF">
        <w:trPr>
          <w:trHeight w:val="16"/>
          <w:tblHeader/>
        </w:trPr>
        <w:tc>
          <w:tcPr>
            <w:tcW w:w="1283" w:type="pct"/>
            <w:shd w:val="clear" w:color="auto" w:fill="E6F2FF"/>
            <w:vAlign w:val="bottom"/>
          </w:tcPr>
          <w:p w14:paraId="12FF7DEC" w14:textId="05021957" w:rsidR="009D70F5" w:rsidRPr="00B832E0" w:rsidRDefault="00C26B08" w:rsidP="00042053">
            <w:pPr>
              <w:pStyle w:val="TableColumnHeadingLeft"/>
            </w:pPr>
            <w:r>
              <w:t>Portfolio</w:t>
            </w:r>
            <w:r w:rsidR="009B41FD">
              <w:br/>
            </w:r>
          </w:p>
        </w:tc>
        <w:tc>
          <w:tcPr>
            <w:tcW w:w="608" w:type="pct"/>
            <w:shd w:val="clear" w:color="auto" w:fill="E6F2FF"/>
          </w:tcPr>
          <w:p w14:paraId="6E8E92EF" w14:textId="77777777" w:rsidR="009D70F5" w:rsidRPr="00B832E0" w:rsidRDefault="009D70F5" w:rsidP="009B41FD">
            <w:pPr>
              <w:pStyle w:val="TableColumnHeadingRight"/>
            </w:pPr>
            <w:r w:rsidRPr="00B832E0">
              <w:t>Loan amount</w:t>
            </w:r>
            <w:r w:rsidRPr="00B832E0">
              <w:rPr>
                <w:sz w:val="18"/>
                <w:szCs w:val="18"/>
                <w:vertAlign w:val="superscript"/>
              </w:rPr>
              <w:t xml:space="preserve">(a) </w:t>
            </w:r>
            <w:r w:rsidRPr="00B832E0">
              <w:rPr>
                <w:szCs w:val="16"/>
              </w:rPr>
              <w:t>($m)</w:t>
            </w:r>
          </w:p>
        </w:tc>
        <w:tc>
          <w:tcPr>
            <w:tcW w:w="1222" w:type="pct"/>
            <w:shd w:val="clear" w:color="auto" w:fill="E6F2FF"/>
            <w:vAlign w:val="bottom"/>
          </w:tcPr>
          <w:p w14:paraId="6EA7D09C" w14:textId="3C92CC9D" w:rsidR="009D70F5" w:rsidRPr="00B832E0" w:rsidRDefault="009D70F5" w:rsidP="00042053">
            <w:pPr>
              <w:pStyle w:val="TableColumnHeadingLeft"/>
            </w:pPr>
            <w:r w:rsidRPr="00B832E0">
              <w:t>Borrower</w:t>
            </w:r>
            <w:r w:rsidR="009B41FD">
              <w:br/>
            </w:r>
          </w:p>
        </w:tc>
        <w:tc>
          <w:tcPr>
            <w:tcW w:w="854" w:type="pct"/>
            <w:shd w:val="clear" w:color="auto" w:fill="E6F2FF"/>
            <w:vAlign w:val="bottom"/>
          </w:tcPr>
          <w:p w14:paraId="36FADF31" w14:textId="66C06ABD" w:rsidR="009D70F5" w:rsidRPr="00B832E0" w:rsidRDefault="009D70F5" w:rsidP="00042053">
            <w:pPr>
              <w:pStyle w:val="TableColumnHeadingLeft"/>
            </w:pPr>
            <w:r w:rsidRPr="00B832E0">
              <w:t>Interest rate</w:t>
            </w:r>
            <w:r w:rsidR="009B41FD">
              <w:br/>
            </w:r>
          </w:p>
        </w:tc>
        <w:tc>
          <w:tcPr>
            <w:tcW w:w="523" w:type="pct"/>
            <w:shd w:val="clear" w:color="auto" w:fill="E6F2FF"/>
            <w:vAlign w:val="bottom"/>
          </w:tcPr>
          <w:p w14:paraId="515131A4" w14:textId="7ECBCE57" w:rsidR="009D70F5" w:rsidRPr="00B832E0" w:rsidRDefault="009D70F5" w:rsidP="00042053">
            <w:pPr>
              <w:pStyle w:val="TableColumnHeadingLeft"/>
            </w:pPr>
            <w:r w:rsidRPr="00B832E0">
              <w:t>Term</w:t>
            </w:r>
            <w:r w:rsidR="009B41FD">
              <w:br/>
            </w:r>
          </w:p>
        </w:tc>
        <w:tc>
          <w:tcPr>
            <w:tcW w:w="510" w:type="pct"/>
            <w:shd w:val="clear" w:color="auto" w:fill="E6F2FF"/>
            <w:vAlign w:val="bottom"/>
          </w:tcPr>
          <w:p w14:paraId="32EA4E6D" w14:textId="6BB7DF35" w:rsidR="009D70F5" w:rsidRPr="00B832E0" w:rsidRDefault="009D70F5" w:rsidP="00042053">
            <w:pPr>
              <w:pStyle w:val="TableColumnHeadingLeft"/>
            </w:pPr>
            <w:r w:rsidRPr="00B832E0">
              <w:t>Status</w:t>
            </w:r>
            <w:r w:rsidRPr="00B832E0">
              <w:rPr>
                <w:sz w:val="18"/>
                <w:szCs w:val="18"/>
                <w:vertAlign w:val="superscript"/>
              </w:rPr>
              <w:t>(b)</w:t>
            </w:r>
            <w:r w:rsidR="009B41FD">
              <w:rPr>
                <w:sz w:val="18"/>
                <w:szCs w:val="18"/>
                <w:vertAlign w:val="superscript"/>
              </w:rPr>
              <w:br/>
            </w:r>
          </w:p>
        </w:tc>
      </w:tr>
      <w:tr w:rsidR="00D76D70" w:rsidRPr="00B832E0" w14:paraId="4A3C280B" w14:textId="77777777" w:rsidTr="00CB2EBF">
        <w:trPr>
          <w:trHeight w:val="16"/>
        </w:trPr>
        <w:tc>
          <w:tcPr>
            <w:tcW w:w="5000" w:type="pct"/>
            <w:gridSpan w:val="6"/>
            <w:shd w:val="clear" w:color="auto" w:fill="E6F2FF"/>
          </w:tcPr>
          <w:p w14:paraId="7D448F58" w14:textId="61993F3F" w:rsidR="00D76D70" w:rsidRDefault="00D76D70" w:rsidP="00D76D70">
            <w:pPr>
              <w:pStyle w:val="TableColumnHeadingLeft"/>
            </w:pPr>
            <w:r>
              <w:t>Treasury</w:t>
            </w:r>
          </w:p>
        </w:tc>
      </w:tr>
      <w:tr w:rsidR="009B41FD" w:rsidRPr="00B832E0" w14:paraId="6B8A706B" w14:textId="77777777" w:rsidTr="00CB2EBF">
        <w:trPr>
          <w:trHeight w:val="16"/>
        </w:trPr>
        <w:tc>
          <w:tcPr>
            <w:tcW w:w="1283" w:type="pct"/>
            <w:shd w:val="clear" w:color="auto" w:fill="auto"/>
          </w:tcPr>
          <w:p w14:paraId="47C14E8E" w14:textId="52E6BBFB" w:rsidR="00D76D70" w:rsidRPr="005F1040" w:rsidRDefault="00D76D70" w:rsidP="00913BEE">
            <w:pPr>
              <w:pStyle w:val="TableTextLeft"/>
              <w:spacing w:before="100" w:beforeAutospacing="1"/>
              <w:rPr>
                <w:rFonts w:cs="Arial"/>
                <w:sz w:val="12"/>
                <w:szCs w:val="12"/>
                <w:vertAlign w:val="superscript"/>
              </w:rPr>
            </w:pPr>
            <w:r w:rsidRPr="116C2317">
              <w:rPr>
                <w:rFonts w:cs="Arial"/>
              </w:rPr>
              <w:t>Affordable Housing Bond Aggregator</w:t>
            </w:r>
            <w:r>
              <w:rPr>
                <w:rFonts w:cs="Arial"/>
                <w:sz w:val="12"/>
                <w:szCs w:val="12"/>
                <w:vertAlign w:val="superscript"/>
              </w:rPr>
              <w:t> </w:t>
            </w:r>
          </w:p>
        </w:tc>
        <w:tc>
          <w:tcPr>
            <w:tcW w:w="608" w:type="pct"/>
            <w:shd w:val="clear" w:color="auto" w:fill="auto"/>
          </w:tcPr>
          <w:p w14:paraId="5DEF856F" w14:textId="77777777" w:rsidR="00D76D70" w:rsidRPr="00B832E0" w:rsidRDefault="00D76D70" w:rsidP="003573BF">
            <w:pPr>
              <w:pStyle w:val="TableTextRight"/>
              <w:spacing w:before="0"/>
            </w:pPr>
            <w:r>
              <w:rPr>
                <w:rFonts w:cs="Arial"/>
                <w:szCs w:val="16"/>
              </w:rPr>
              <w:t>80</w:t>
            </w:r>
          </w:p>
        </w:tc>
        <w:tc>
          <w:tcPr>
            <w:tcW w:w="1222" w:type="pct"/>
            <w:shd w:val="clear" w:color="auto" w:fill="auto"/>
          </w:tcPr>
          <w:p w14:paraId="48DEEA16" w14:textId="77777777" w:rsidR="00D76D70" w:rsidRPr="00644AAB" w:rsidRDefault="00D76D70" w:rsidP="003573BF">
            <w:pPr>
              <w:pStyle w:val="TableTextLeft"/>
              <w:spacing w:before="0"/>
            </w:pPr>
            <w:r>
              <w:t>Housing Australia</w:t>
            </w:r>
          </w:p>
        </w:tc>
        <w:tc>
          <w:tcPr>
            <w:tcW w:w="854" w:type="pct"/>
            <w:shd w:val="clear" w:color="auto" w:fill="auto"/>
          </w:tcPr>
          <w:p w14:paraId="2AC72403" w14:textId="6CF1878D" w:rsidR="00D76D70" w:rsidRPr="00644AAB" w:rsidRDefault="00D76D70" w:rsidP="003573BF">
            <w:pPr>
              <w:pStyle w:val="TableTextLeft"/>
              <w:spacing w:before="0"/>
            </w:pPr>
            <w:r w:rsidRPr="00644AAB">
              <w:t>Commonwealth cost of</w:t>
            </w:r>
            <w:r w:rsidR="00CB2EBF">
              <w:t> </w:t>
            </w:r>
            <w:r w:rsidRPr="00644AAB">
              <w:t>borrowing </w:t>
            </w:r>
          </w:p>
        </w:tc>
        <w:tc>
          <w:tcPr>
            <w:tcW w:w="523" w:type="pct"/>
            <w:shd w:val="clear" w:color="auto" w:fill="auto"/>
          </w:tcPr>
          <w:p w14:paraId="34BD4EA6" w14:textId="77777777" w:rsidR="00D76D70" w:rsidRPr="00644AAB" w:rsidRDefault="00D76D70" w:rsidP="003573BF">
            <w:pPr>
              <w:pStyle w:val="TableTextLeft"/>
              <w:spacing w:before="0"/>
            </w:pPr>
            <w:r w:rsidRPr="00644AAB">
              <w:t>Various </w:t>
            </w:r>
          </w:p>
        </w:tc>
        <w:tc>
          <w:tcPr>
            <w:tcW w:w="510" w:type="pct"/>
            <w:shd w:val="clear" w:color="auto" w:fill="auto"/>
          </w:tcPr>
          <w:p w14:paraId="5D7EFBB0" w14:textId="77777777" w:rsidR="00D76D70" w:rsidRPr="00644AAB" w:rsidRDefault="00D76D70" w:rsidP="003573BF">
            <w:pPr>
              <w:pStyle w:val="TableTextLeft"/>
              <w:spacing w:before="0"/>
            </w:pPr>
            <w:r>
              <w:t>Unchanged</w:t>
            </w:r>
          </w:p>
        </w:tc>
      </w:tr>
      <w:tr w:rsidR="009B41FD" w:rsidRPr="00B832E0" w14:paraId="13F7B54C" w14:textId="77777777" w:rsidTr="00CB2EBF">
        <w:trPr>
          <w:trHeight w:val="16"/>
        </w:trPr>
        <w:tc>
          <w:tcPr>
            <w:tcW w:w="1283" w:type="pct"/>
            <w:shd w:val="clear" w:color="auto" w:fill="auto"/>
          </w:tcPr>
          <w:p w14:paraId="39079EC6" w14:textId="69D06031" w:rsidR="00D76D70" w:rsidRPr="00B832E0" w:rsidRDefault="00D76D70" w:rsidP="00913BEE">
            <w:pPr>
              <w:pStyle w:val="TableTextLeft"/>
              <w:spacing w:before="100" w:beforeAutospacing="1"/>
            </w:pPr>
            <w:r w:rsidRPr="00B832E0">
              <w:rPr>
                <w:rFonts w:cs="Arial"/>
                <w:szCs w:val="16"/>
              </w:rPr>
              <w:t>Commonwealth</w:t>
            </w:r>
            <w:r w:rsidR="00D737F9">
              <w:rPr>
                <w:rFonts w:cs="Arial"/>
                <w:szCs w:val="16"/>
              </w:rPr>
              <w:noBreakHyphen/>
            </w:r>
            <w:r w:rsidRPr="00B832E0">
              <w:rPr>
                <w:rFonts w:cs="Arial"/>
                <w:szCs w:val="16"/>
              </w:rPr>
              <w:t>State financing arrangements – housing and specific purpose capital </w:t>
            </w:r>
          </w:p>
        </w:tc>
        <w:tc>
          <w:tcPr>
            <w:tcW w:w="608" w:type="pct"/>
            <w:shd w:val="clear" w:color="auto" w:fill="auto"/>
          </w:tcPr>
          <w:p w14:paraId="7462ECF7" w14:textId="77777777" w:rsidR="00D76D70" w:rsidRPr="00B832E0" w:rsidRDefault="00D76D70" w:rsidP="003573BF">
            <w:pPr>
              <w:pStyle w:val="TableTextRight"/>
              <w:spacing w:before="0"/>
            </w:pPr>
            <w:r w:rsidRPr="00B832E0">
              <w:rPr>
                <w:rFonts w:cs="Arial"/>
                <w:szCs w:val="16"/>
              </w:rPr>
              <w:t>1,</w:t>
            </w:r>
            <w:r>
              <w:rPr>
                <w:rFonts w:cs="Arial"/>
                <w:szCs w:val="16"/>
              </w:rPr>
              <w:t>300</w:t>
            </w:r>
          </w:p>
        </w:tc>
        <w:tc>
          <w:tcPr>
            <w:tcW w:w="1222" w:type="pct"/>
            <w:shd w:val="clear" w:color="auto" w:fill="auto"/>
          </w:tcPr>
          <w:p w14:paraId="1229B42C" w14:textId="77777777" w:rsidR="00D76D70" w:rsidRPr="00644AAB" w:rsidRDefault="00D76D70" w:rsidP="003573BF">
            <w:pPr>
              <w:pStyle w:val="TableTextLeft"/>
              <w:spacing w:before="0"/>
            </w:pPr>
            <w:r w:rsidRPr="00644AAB">
              <w:t>State and Northern Territory governments </w:t>
            </w:r>
          </w:p>
        </w:tc>
        <w:tc>
          <w:tcPr>
            <w:tcW w:w="854" w:type="pct"/>
            <w:shd w:val="clear" w:color="auto" w:fill="auto"/>
          </w:tcPr>
          <w:p w14:paraId="64F1B9F3" w14:textId="77777777" w:rsidR="00D76D70" w:rsidRPr="00644AAB" w:rsidRDefault="00D76D70" w:rsidP="003573BF">
            <w:pPr>
              <w:pStyle w:val="TableTextLeft"/>
              <w:spacing w:before="0"/>
            </w:pPr>
            <w:r w:rsidRPr="00644AAB">
              <w:t>4.0</w:t>
            </w:r>
            <w:r>
              <w:t> per cent </w:t>
            </w:r>
            <w:r w:rsidRPr="00644AAB">
              <w:t>– </w:t>
            </w:r>
            <w:r w:rsidRPr="00644AAB">
              <w:br/>
              <w:t>6.0</w:t>
            </w:r>
            <w:r>
              <w:t> per cent </w:t>
            </w:r>
          </w:p>
        </w:tc>
        <w:tc>
          <w:tcPr>
            <w:tcW w:w="523" w:type="pct"/>
            <w:shd w:val="clear" w:color="auto" w:fill="auto"/>
          </w:tcPr>
          <w:p w14:paraId="2877816F" w14:textId="77777777" w:rsidR="00D76D70" w:rsidRPr="00644AAB" w:rsidRDefault="00D76D70" w:rsidP="003573BF">
            <w:pPr>
              <w:pStyle w:val="TableTextLeft"/>
              <w:spacing w:before="0"/>
            </w:pPr>
            <w:r w:rsidRPr="00644AAB">
              <w:t>Up to 30 June 2042 </w:t>
            </w:r>
          </w:p>
        </w:tc>
        <w:tc>
          <w:tcPr>
            <w:tcW w:w="510" w:type="pct"/>
            <w:shd w:val="clear" w:color="auto" w:fill="auto"/>
          </w:tcPr>
          <w:p w14:paraId="0BAD5738" w14:textId="77777777" w:rsidR="00D76D70" w:rsidRPr="00644AAB" w:rsidRDefault="00D76D70" w:rsidP="003573BF">
            <w:pPr>
              <w:pStyle w:val="TableTextLeft"/>
              <w:spacing w:before="0"/>
            </w:pPr>
            <w:r w:rsidRPr="00644AAB">
              <w:t>Unchanged</w:t>
            </w:r>
          </w:p>
        </w:tc>
      </w:tr>
      <w:tr w:rsidR="009B41FD" w:rsidRPr="00B832E0" w14:paraId="2575F13F" w14:textId="77777777" w:rsidTr="00EF5DF5">
        <w:trPr>
          <w:trHeight w:val="16"/>
        </w:trPr>
        <w:tc>
          <w:tcPr>
            <w:tcW w:w="1283" w:type="pct"/>
            <w:shd w:val="clear" w:color="auto" w:fill="auto"/>
          </w:tcPr>
          <w:p w14:paraId="20F2CFB2" w14:textId="3E4558D6" w:rsidR="00D76D70" w:rsidRPr="00B832E0" w:rsidRDefault="00D76D70" w:rsidP="00913BEE">
            <w:pPr>
              <w:pStyle w:val="TableTextLeft"/>
              <w:spacing w:before="100" w:beforeAutospacing="1"/>
            </w:pPr>
            <w:r w:rsidRPr="00B832E0">
              <w:rPr>
                <w:rFonts w:cs="Arial"/>
                <w:szCs w:val="16"/>
              </w:rPr>
              <w:t>International Monetary Fund – New</w:t>
            </w:r>
            <w:r w:rsidR="00CB2EBF">
              <w:rPr>
                <w:rFonts w:cs="Arial"/>
                <w:szCs w:val="16"/>
              </w:rPr>
              <w:t> </w:t>
            </w:r>
            <w:r w:rsidRPr="00B832E0">
              <w:rPr>
                <w:rFonts w:cs="Arial"/>
                <w:szCs w:val="16"/>
              </w:rPr>
              <w:t>Arrangements to Borrow </w:t>
            </w:r>
          </w:p>
        </w:tc>
        <w:tc>
          <w:tcPr>
            <w:tcW w:w="608" w:type="pct"/>
            <w:shd w:val="clear" w:color="auto" w:fill="auto"/>
          </w:tcPr>
          <w:p w14:paraId="1E16A427" w14:textId="001685E5" w:rsidR="00D76D70" w:rsidRPr="00B832E0" w:rsidRDefault="00D737F9" w:rsidP="003573BF">
            <w:pPr>
              <w:pStyle w:val="TableTextRight"/>
              <w:spacing w:before="0"/>
            </w:pPr>
            <w:r>
              <w:rPr>
                <w:rFonts w:cs="Arial"/>
                <w:szCs w:val="16"/>
              </w:rPr>
              <w:noBreakHyphen/>
            </w:r>
          </w:p>
        </w:tc>
        <w:tc>
          <w:tcPr>
            <w:tcW w:w="1222" w:type="pct"/>
            <w:shd w:val="clear" w:color="auto" w:fill="auto"/>
          </w:tcPr>
          <w:p w14:paraId="65A42064" w14:textId="77777777" w:rsidR="00D76D70" w:rsidRPr="00644AAB" w:rsidRDefault="00D76D70" w:rsidP="003573BF">
            <w:pPr>
              <w:pStyle w:val="TableTextLeft"/>
              <w:spacing w:before="0"/>
            </w:pPr>
            <w:r w:rsidRPr="00644AAB">
              <w:t>International Monetary Fund </w:t>
            </w:r>
          </w:p>
        </w:tc>
        <w:tc>
          <w:tcPr>
            <w:tcW w:w="854" w:type="pct"/>
            <w:shd w:val="clear" w:color="auto" w:fill="auto"/>
            <w:tcMar>
              <w:right w:w="0" w:type="dxa"/>
            </w:tcMar>
          </w:tcPr>
          <w:p w14:paraId="647B8D51" w14:textId="5BFE153F" w:rsidR="00D76D70" w:rsidRPr="00831317" w:rsidRDefault="00D76D70" w:rsidP="00831317">
            <w:pPr>
              <w:pStyle w:val="TableTextLeft"/>
              <w:rPr>
                <w:spacing w:val="-2"/>
                <w:kern w:val="16"/>
              </w:rPr>
            </w:pPr>
            <w:r w:rsidRPr="00831317">
              <w:rPr>
                <w:spacing w:val="-2"/>
                <w:kern w:val="16"/>
              </w:rPr>
              <w:t>IMF Special Drawing Rights (SDR) interest</w:t>
            </w:r>
            <w:r w:rsidR="00CB2EBF" w:rsidRPr="00831317">
              <w:rPr>
                <w:spacing w:val="-2"/>
                <w:kern w:val="16"/>
              </w:rPr>
              <w:t> </w:t>
            </w:r>
            <w:r w:rsidRPr="00831317">
              <w:rPr>
                <w:spacing w:val="-2"/>
                <w:kern w:val="16"/>
              </w:rPr>
              <w:t>rate </w:t>
            </w:r>
          </w:p>
        </w:tc>
        <w:tc>
          <w:tcPr>
            <w:tcW w:w="523" w:type="pct"/>
            <w:shd w:val="clear" w:color="auto" w:fill="auto"/>
          </w:tcPr>
          <w:p w14:paraId="72E95954" w14:textId="77777777" w:rsidR="00D76D70" w:rsidRPr="00644AAB" w:rsidRDefault="00D76D70" w:rsidP="003573BF">
            <w:pPr>
              <w:pStyle w:val="TableTextLeft"/>
              <w:spacing w:before="0"/>
            </w:pPr>
            <w:r w:rsidRPr="00644AAB">
              <w:t>10 years </w:t>
            </w:r>
          </w:p>
        </w:tc>
        <w:tc>
          <w:tcPr>
            <w:tcW w:w="510" w:type="pct"/>
            <w:shd w:val="clear" w:color="auto" w:fill="auto"/>
          </w:tcPr>
          <w:p w14:paraId="7D14E3D9" w14:textId="77777777" w:rsidR="00D76D70" w:rsidRPr="00644AAB" w:rsidRDefault="00D76D70" w:rsidP="003573BF">
            <w:pPr>
              <w:pStyle w:val="TableTextLeft"/>
              <w:spacing w:before="0"/>
            </w:pPr>
            <w:r>
              <w:t>Removed</w:t>
            </w:r>
            <w:r w:rsidRPr="00644AAB">
              <w:t> </w:t>
            </w:r>
          </w:p>
        </w:tc>
      </w:tr>
      <w:tr w:rsidR="009B41FD" w:rsidRPr="00B832E0" w14:paraId="0D281C60" w14:textId="77777777" w:rsidTr="00CB2EBF">
        <w:trPr>
          <w:trHeight w:val="16"/>
        </w:trPr>
        <w:tc>
          <w:tcPr>
            <w:tcW w:w="1283" w:type="pct"/>
            <w:shd w:val="clear" w:color="auto" w:fill="auto"/>
          </w:tcPr>
          <w:p w14:paraId="38B4C9A4" w14:textId="6122DAEF" w:rsidR="00D76D70" w:rsidRPr="00B832E0" w:rsidRDefault="00D76D70" w:rsidP="00913BEE">
            <w:pPr>
              <w:pStyle w:val="TableTextLeft"/>
              <w:spacing w:before="100" w:beforeAutospacing="1"/>
            </w:pPr>
            <w:r w:rsidRPr="00B832E0">
              <w:rPr>
                <w:rFonts w:cs="Arial"/>
                <w:szCs w:val="16"/>
              </w:rPr>
              <w:t>International Monetary Fund – Poverty</w:t>
            </w:r>
            <w:r w:rsidR="00CB2EBF">
              <w:rPr>
                <w:rFonts w:cs="Arial"/>
                <w:szCs w:val="16"/>
              </w:rPr>
              <w:t> </w:t>
            </w:r>
            <w:r w:rsidRPr="00B832E0">
              <w:rPr>
                <w:rFonts w:cs="Arial"/>
                <w:szCs w:val="16"/>
              </w:rPr>
              <w:t>Reduction and Growth Trust</w:t>
            </w:r>
          </w:p>
        </w:tc>
        <w:tc>
          <w:tcPr>
            <w:tcW w:w="608" w:type="pct"/>
            <w:shd w:val="clear" w:color="auto" w:fill="auto"/>
          </w:tcPr>
          <w:p w14:paraId="0AA8648F" w14:textId="77777777" w:rsidR="00D76D70" w:rsidRPr="00B832E0" w:rsidRDefault="00D76D70" w:rsidP="003573BF">
            <w:pPr>
              <w:pStyle w:val="TableTextRight"/>
              <w:spacing w:before="0"/>
            </w:pPr>
            <w:r>
              <w:rPr>
                <w:rFonts w:cs="Arial"/>
                <w:szCs w:val="16"/>
              </w:rPr>
              <w:t>519</w:t>
            </w:r>
          </w:p>
        </w:tc>
        <w:tc>
          <w:tcPr>
            <w:tcW w:w="1222" w:type="pct"/>
            <w:shd w:val="clear" w:color="auto" w:fill="auto"/>
          </w:tcPr>
          <w:p w14:paraId="79267C77" w14:textId="77777777" w:rsidR="00D76D70" w:rsidRPr="00644AAB" w:rsidRDefault="00D76D70" w:rsidP="003573BF">
            <w:pPr>
              <w:pStyle w:val="TableTextLeft"/>
              <w:spacing w:before="0"/>
            </w:pPr>
            <w:r w:rsidRPr="00644AAB">
              <w:t>International Monetary Fund </w:t>
            </w:r>
          </w:p>
        </w:tc>
        <w:tc>
          <w:tcPr>
            <w:tcW w:w="854" w:type="pct"/>
            <w:shd w:val="clear" w:color="auto" w:fill="auto"/>
          </w:tcPr>
          <w:p w14:paraId="5481DC1D" w14:textId="77777777" w:rsidR="00D76D70" w:rsidRPr="00644AAB" w:rsidRDefault="00D76D70" w:rsidP="003573BF">
            <w:pPr>
              <w:pStyle w:val="TableTextLeft"/>
              <w:spacing w:before="0"/>
            </w:pPr>
            <w:r w:rsidRPr="00644AAB">
              <w:t>IMF SDR interest rate </w:t>
            </w:r>
          </w:p>
        </w:tc>
        <w:tc>
          <w:tcPr>
            <w:tcW w:w="523" w:type="pct"/>
            <w:shd w:val="clear" w:color="auto" w:fill="auto"/>
          </w:tcPr>
          <w:p w14:paraId="14E61A2E" w14:textId="77777777" w:rsidR="00D76D70" w:rsidRPr="00644AAB" w:rsidRDefault="00D76D70" w:rsidP="003573BF">
            <w:pPr>
              <w:pStyle w:val="TableTextLeft"/>
              <w:spacing w:before="0"/>
            </w:pPr>
            <w:r w:rsidRPr="00644AAB">
              <w:t>10 years </w:t>
            </w:r>
          </w:p>
        </w:tc>
        <w:tc>
          <w:tcPr>
            <w:tcW w:w="510" w:type="pct"/>
            <w:shd w:val="clear" w:color="auto" w:fill="auto"/>
          </w:tcPr>
          <w:p w14:paraId="5A8721CA" w14:textId="77777777" w:rsidR="00D76D70" w:rsidRPr="00644AAB" w:rsidRDefault="00D76D70" w:rsidP="003573BF">
            <w:pPr>
              <w:pStyle w:val="TableTextLeft"/>
              <w:spacing w:before="0"/>
            </w:pPr>
            <w:r>
              <w:t>Unchanged</w:t>
            </w:r>
            <w:r w:rsidRPr="00644AAB">
              <w:t> </w:t>
            </w:r>
          </w:p>
        </w:tc>
      </w:tr>
      <w:tr w:rsidR="009B41FD" w:rsidRPr="00B832E0" w14:paraId="228F6EEE" w14:textId="77777777" w:rsidTr="00CB2EBF">
        <w:trPr>
          <w:trHeight w:val="16"/>
        </w:trPr>
        <w:tc>
          <w:tcPr>
            <w:tcW w:w="1283" w:type="pct"/>
            <w:shd w:val="clear" w:color="auto" w:fill="auto"/>
          </w:tcPr>
          <w:p w14:paraId="56D5481F" w14:textId="77777777" w:rsidR="00D76D70" w:rsidRPr="00B832E0" w:rsidRDefault="00D76D70" w:rsidP="00913BEE">
            <w:pPr>
              <w:pStyle w:val="TableTextLeft"/>
              <w:spacing w:before="100" w:beforeAutospacing="1"/>
              <w:rPr>
                <w:rFonts w:cs="Arial"/>
                <w:sz w:val="12"/>
                <w:szCs w:val="12"/>
              </w:rPr>
            </w:pPr>
            <w:r w:rsidRPr="116C2317">
              <w:rPr>
                <w:rFonts w:cs="Arial"/>
              </w:rPr>
              <w:t>International Monetary Fund – Resilience and Sustainability Trust</w:t>
            </w:r>
          </w:p>
        </w:tc>
        <w:tc>
          <w:tcPr>
            <w:tcW w:w="608" w:type="pct"/>
            <w:shd w:val="clear" w:color="auto" w:fill="auto"/>
          </w:tcPr>
          <w:p w14:paraId="4F3C9E69" w14:textId="77777777" w:rsidR="00D76D70" w:rsidRPr="00B832E0" w:rsidRDefault="00D76D70" w:rsidP="003573BF">
            <w:pPr>
              <w:pStyle w:val="TableTextRight"/>
              <w:spacing w:before="0"/>
              <w:rPr>
                <w:rFonts w:eastAsia="Book Antiqua"/>
              </w:rPr>
            </w:pPr>
            <w:r>
              <w:rPr>
                <w:rFonts w:cs="Arial"/>
                <w:szCs w:val="16"/>
              </w:rPr>
              <w:t>29</w:t>
            </w:r>
          </w:p>
        </w:tc>
        <w:tc>
          <w:tcPr>
            <w:tcW w:w="1222" w:type="pct"/>
            <w:shd w:val="clear" w:color="auto" w:fill="auto"/>
          </w:tcPr>
          <w:p w14:paraId="6395F11E" w14:textId="77777777" w:rsidR="00D76D70" w:rsidRPr="00644AAB" w:rsidRDefault="00D76D70" w:rsidP="003573BF">
            <w:pPr>
              <w:pStyle w:val="TableTextLeft"/>
              <w:spacing w:before="0"/>
            </w:pPr>
            <w:r w:rsidRPr="00644AAB">
              <w:t>International Monetary Fund </w:t>
            </w:r>
          </w:p>
        </w:tc>
        <w:tc>
          <w:tcPr>
            <w:tcW w:w="854" w:type="pct"/>
            <w:shd w:val="clear" w:color="auto" w:fill="auto"/>
          </w:tcPr>
          <w:p w14:paraId="0A4FF6F9" w14:textId="77777777" w:rsidR="00D76D70" w:rsidRPr="00644AAB" w:rsidRDefault="00D76D70" w:rsidP="003573BF">
            <w:pPr>
              <w:pStyle w:val="TableTextLeft"/>
              <w:spacing w:before="0"/>
            </w:pPr>
            <w:r w:rsidRPr="00644AAB">
              <w:t>IMF SDR interest rate </w:t>
            </w:r>
          </w:p>
        </w:tc>
        <w:tc>
          <w:tcPr>
            <w:tcW w:w="523" w:type="pct"/>
            <w:shd w:val="clear" w:color="auto" w:fill="auto"/>
          </w:tcPr>
          <w:p w14:paraId="38C27796" w14:textId="77777777" w:rsidR="00D76D70" w:rsidRPr="00644AAB" w:rsidRDefault="00D76D70" w:rsidP="003573BF">
            <w:pPr>
              <w:pStyle w:val="TableTextLeft"/>
              <w:spacing w:before="0"/>
            </w:pPr>
            <w:r w:rsidRPr="00644AAB">
              <w:t>20 years </w:t>
            </w:r>
          </w:p>
        </w:tc>
        <w:tc>
          <w:tcPr>
            <w:tcW w:w="510" w:type="pct"/>
            <w:shd w:val="clear" w:color="auto" w:fill="auto"/>
          </w:tcPr>
          <w:p w14:paraId="17729A20" w14:textId="77777777" w:rsidR="00D76D70" w:rsidRPr="00644AAB" w:rsidRDefault="00D76D70" w:rsidP="003573BF">
            <w:pPr>
              <w:pStyle w:val="TableTextLeft"/>
              <w:spacing w:before="0"/>
            </w:pPr>
            <w:r>
              <w:t>Unchanged</w:t>
            </w:r>
          </w:p>
        </w:tc>
      </w:tr>
      <w:tr w:rsidR="009B41FD" w:rsidRPr="00B832E0" w14:paraId="29D7C3B7" w14:textId="77777777" w:rsidTr="00CB2EBF">
        <w:trPr>
          <w:trHeight w:val="16"/>
        </w:trPr>
        <w:tc>
          <w:tcPr>
            <w:tcW w:w="1283" w:type="pct"/>
            <w:shd w:val="clear" w:color="auto" w:fill="auto"/>
          </w:tcPr>
          <w:p w14:paraId="739F67DD" w14:textId="7111BCE4" w:rsidR="00D76D70" w:rsidRPr="00B832E0" w:rsidRDefault="00D76D70" w:rsidP="00913BEE">
            <w:pPr>
              <w:pStyle w:val="TableTextLeft"/>
              <w:spacing w:before="100" w:beforeAutospacing="1"/>
            </w:pPr>
            <w:r w:rsidRPr="00B832E0">
              <w:rPr>
                <w:rFonts w:cs="Arial"/>
                <w:szCs w:val="16"/>
              </w:rPr>
              <w:t xml:space="preserve">Loan Agreement between the </w:t>
            </w:r>
            <w:r>
              <w:rPr>
                <w:rFonts w:cs="Arial"/>
                <w:szCs w:val="16"/>
              </w:rPr>
              <w:t>Australian Government</w:t>
            </w:r>
            <w:r w:rsidRPr="00B832E0">
              <w:rPr>
                <w:rFonts w:cs="Arial"/>
                <w:szCs w:val="16"/>
              </w:rPr>
              <w:t xml:space="preserve"> and the Government of Indonesia </w:t>
            </w:r>
          </w:p>
        </w:tc>
        <w:tc>
          <w:tcPr>
            <w:tcW w:w="608" w:type="pct"/>
            <w:shd w:val="clear" w:color="auto" w:fill="auto"/>
          </w:tcPr>
          <w:p w14:paraId="45608D75" w14:textId="77777777" w:rsidR="00D76D70" w:rsidRPr="00B832E0" w:rsidRDefault="00D76D70" w:rsidP="003573BF">
            <w:pPr>
              <w:pStyle w:val="TableTextRight"/>
              <w:spacing w:before="0"/>
            </w:pPr>
            <w:r>
              <w:rPr>
                <w:rFonts w:cs="Arial"/>
                <w:szCs w:val="16"/>
              </w:rPr>
              <w:t>895</w:t>
            </w:r>
          </w:p>
        </w:tc>
        <w:tc>
          <w:tcPr>
            <w:tcW w:w="1222" w:type="pct"/>
            <w:shd w:val="clear" w:color="auto" w:fill="auto"/>
          </w:tcPr>
          <w:p w14:paraId="241FAB3B" w14:textId="77777777" w:rsidR="00D76D70" w:rsidRPr="00644AAB" w:rsidRDefault="00D76D70" w:rsidP="003573BF">
            <w:pPr>
              <w:pStyle w:val="TableTextLeft"/>
              <w:spacing w:before="0"/>
            </w:pPr>
            <w:r w:rsidRPr="00644AAB">
              <w:t>Government of Indonesia </w:t>
            </w:r>
          </w:p>
        </w:tc>
        <w:tc>
          <w:tcPr>
            <w:tcW w:w="854" w:type="pct"/>
            <w:shd w:val="clear" w:color="auto" w:fill="auto"/>
          </w:tcPr>
          <w:p w14:paraId="6DF8B539" w14:textId="6D8185F5" w:rsidR="00D76D70" w:rsidRPr="00644AAB" w:rsidRDefault="00D76D70" w:rsidP="003573BF">
            <w:pPr>
              <w:pStyle w:val="TableTextLeft"/>
              <w:spacing w:before="0"/>
            </w:pPr>
            <w:r w:rsidRPr="00644AAB">
              <w:t>Commonwealth cost of</w:t>
            </w:r>
            <w:r w:rsidR="00CB2EBF">
              <w:t> </w:t>
            </w:r>
            <w:r w:rsidRPr="00644AAB">
              <w:t>borrowing plus 0.5</w:t>
            </w:r>
            <w:r>
              <w:t> per cent </w:t>
            </w:r>
          </w:p>
        </w:tc>
        <w:tc>
          <w:tcPr>
            <w:tcW w:w="523" w:type="pct"/>
            <w:shd w:val="clear" w:color="auto" w:fill="auto"/>
          </w:tcPr>
          <w:p w14:paraId="794D2DC9" w14:textId="77777777" w:rsidR="00D76D70" w:rsidRPr="00644AAB" w:rsidRDefault="00D76D70" w:rsidP="003573BF">
            <w:pPr>
              <w:pStyle w:val="TableTextLeft"/>
              <w:spacing w:before="0"/>
            </w:pPr>
            <w:r w:rsidRPr="00644AAB">
              <w:t>15 years </w:t>
            </w:r>
          </w:p>
        </w:tc>
        <w:tc>
          <w:tcPr>
            <w:tcW w:w="510" w:type="pct"/>
            <w:shd w:val="clear" w:color="auto" w:fill="auto"/>
          </w:tcPr>
          <w:p w14:paraId="20E26F62" w14:textId="77777777" w:rsidR="00D76D70" w:rsidRPr="00644AAB" w:rsidRDefault="00D76D70" w:rsidP="003573BF">
            <w:pPr>
              <w:pStyle w:val="TableTextLeft"/>
              <w:spacing w:before="0"/>
            </w:pPr>
            <w:r w:rsidRPr="00644AAB">
              <w:t>Unchanged</w:t>
            </w:r>
          </w:p>
        </w:tc>
      </w:tr>
      <w:tr w:rsidR="009B41FD" w:rsidRPr="00B832E0" w14:paraId="74F7390C" w14:textId="77777777" w:rsidTr="00CB2EBF">
        <w:trPr>
          <w:trHeight w:val="70"/>
        </w:trPr>
        <w:tc>
          <w:tcPr>
            <w:tcW w:w="1283" w:type="pct"/>
            <w:shd w:val="clear" w:color="auto" w:fill="auto"/>
          </w:tcPr>
          <w:p w14:paraId="557C1766" w14:textId="77777777" w:rsidR="00D76D70" w:rsidRPr="00B832E0" w:rsidRDefault="00D76D70" w:rsidP="00913BEE">
            <w:pPr>
              <w:pStyle w:val="TableTextLeft"/>
              <w:spacing w:before="100" w:beforeAutospacing="1"/>
            </w:pPr>
            <w:r w:rsidRPr="00B832E0">
              <w:rPr>
                <w:rFonts w:cs="Arial"/>
                <w:szCs w:val="16"/>
              </w:rPr>
              <w:t>202</w:t>
            </w:r>
            <w:r>
              <w:rPr>
                <w:rFonts w:cs="Arial"/>
                <w:szCs w:val="16"/>
              </w:rPr>
              <w:t>0</w:t>
            </w:r>
            <w:r w:rsidRPr="00B832E0">
              <w:rPr>
                <w:rFonts w:cs="Arial"/>
                <w:szCs w:val="16"/>
              </w:rPr>
              <w:t xml:space="preserve"> Loan Agreement between the Australian Government and the Government of Papua New Guinea </w:t>
            </w:r>
          </w:p>
        </w:tc>
        <w:tc>
          <w:tcPr>
            <w:tcW w:w="608" w:type="pct"/>
            <w:shd w:val="clear" w:color="auto" w:fill="auto"/>
          </w:tcPr>
          <w:p w14:paraId="149A8EAE" w14:textId="77777777" w:rsidR="00D76D70" w:rsidRPr="00B832E0" w:rsidRDefault="00D76D70" w:rsidP="003573BF">
            <w:pPr>
              <w:pStyle w:val="TableTextRight"/>
              <w:spacing w:before="0"/>
            </w:pPr>
            <w:r>
              <w:rPr>
                <w:rFonts w:cs="Arial"/>
                <w:szCs w:val="16"/>
              </w:rPr>
              <w:t>286</w:t>
            </w:r>
          </w:p>
        </w:tc>
        <w:tc>
          <w:tcPr>
            <w:tcW w:w="1222" w:type="pct"/>
            <w:shd w:val="clear" w:color="auto" w:fill="auto"/>
          </w:tcPr>
          <w:p w14:paraId="08606EE6" w14:textId="77777777" w:rsidR="00D76D70" w:rsidRPr="00644AAB" w:rsidRDefault="00D76D70" w:rsidP="003573BF">
            <w:pPr>
              <w:pStyle w:val="TableTextLeft"/>
              <w:spacing w:before="0"/>
            </w:pPr>
            <w:r w:rsidRPr="00644AAB">
              <w:t>Government of Papua New Guinea </w:t>
            </w:r>
          </w:p>
        </w:tc>
        <w:tc>
          <w:tcPr>
            <w:tcW w:w="854" w:type="pct"/>
            <w:shd w:val="clear" w:color="auto" w:fill="auto"/>
          </w:tcPr>
          <w:p w14:paraId="768B1E2E" w14:textId="32E0030A" w:rsidR="00D76D70" w:rsidRPr="00644AAB" w:rsidRDefault="00D76D70" w:rsidP="003573BF">
            <w:pPr>
              <w:pStyle w:val="TableTextLeft"/>
              <w:spacing w:before="0"/>
            </w:pPr>
            <w:r w:rsidRPr="00644AAB">
              <w:t>Commonwealth cost of</w:t>
            </w:r>
            <w:r w:rsidR="00CB2EBF">
              <w:t> </w:t>
            </w:r>
            <w:r w:rsidRPr="00644AAB">
              <w:t>borrowing plus 0.5</w:t>
            </w:r>
            <w:r>
              <w:t> per cent </w:t>
            </w:r>
          </w:p>
        </w:tc>
        <w:tc>
          <w:tcPr>
            <w:tcW w:w="523" w:type="pct"/>
            <w:shd w:val="clear" w:color="auto" w:fill="auto"/>
          </w:tcPr>
          <w:p w14:paraId="5211C67E" w14:textId="77777777" w:rsidR="00D76D70" w:rsidRPr="00644AAB" w:rsidRDefault="00D76D70" w:rsidP="003573BF">
            <w:pPr>
              <w:pStyle w:val="TableTextLeft"/>
              <w:spacing w:before="0"/>
            </w:pPr>
            <w:r w:rsidRPr="00644AAB">
              <w:t>15 years </w:t>
            </w:r>
          </w:p>
        </w:tc>
        <w:tc>
          <w:tcPr>
            <w:tcW w:w="510" w:type="pct"/>
            <w:shd w:val="clear" w:color="auto" w:fill="auto"/>
          </w:tcPr>
          <w:p w14:paraId="0EF8AC50" w14:textId="77777777" w:rsidR="00D76D70" w:rsidRPr="00644AAB" w:rsidRDefault="00D76D70" w:rsidP="003573BF">
            <w:pPr>
              <w:pStyle w:val="TableTextLeft"/>
              <w:spacing w:before="0"/>
            </w:pPr>
            <w:r w:rsidRPr="00644AAB">
              <w:t>Unchanged</w:t>
            </w:r>
          </w:p>
        </w:tc>
      </w:tr>
      <w:tr w:rsidR="009B41FD" w:rsidRPr="00B832E0" w14:paraId="57957BCA" w14:textId="77777777" w:rsidTr="00CB2EBF">
        <w:trPr>
          <w:trHeight w:val="70"/>
        </w:trPr>
        <w:tc>
          <w:tcPr>
            <w:tcW w:w="1283" w:type="pct"/>
            <w:shd w:val="clear" w:color="auto" w:fill="auto"/>
          </w:tcPr>
          <w:p w14:paraId="4B548635" w14:textId="77777777" w:rsidR="00D76D70" w:rsidRPr="00B832E0" w:rsidRDefault="00D76D70" w:rsidP="00913BEE">
            <w:pPr>
              <w:pStyle w:val="TableTextLeft"/>
              <w:spacing w:before="100" w:beforeAutospacing="1"/>
            </w:pPr>
            <w:r w:rsidRPr="00B832E0">
              <w:rPr>
                <w:rFonts w:cs="Arial"/>
                <w:szCs w:val="16"/>
              </w:rPr>
              <w:t>2021 Loan Agreement between the Australian Government and the Government of Papua New Guinea </w:t>
            </w:r>
          </w:p>
        </w:tc>
        <w:tc>
          <w:tcPr>
            <w:tcW w:w="608" w:type="pct"/>
            <w:shd w:val="clear" w:color="auto" w:fill="auto"/>
          </w:tcPr>
          <w:p w14:paraId="04AD7B0C" w14:textId="77777777" w:rsidR="00D76D70" w:rsidRPr="00B832E0" w:rsidRDefault="00D76D70" w:rsidP="003573BF">
            <w:pPr>
              <w:pStyle w:val="TableTextRight"/>
              <w:spacing w:before="0"/>
            </w:pPr>
            <w:r>
              <w:rPr>
                <w:rFonts w:cs="Arial"/>
                <w:szCs w:val="16"/>
              </w:rPr>
              <w:t>307</w:t>
            </w:r>
          </w:p>
        </w:tc>
        <w:tc>
          <w:tcPr>
            <w:tcW w:w="1222" w:type="pct"/>
            <w:shd w:val="clear" w:color="auto" w:fill="auto"/>
          </w:tcPr>
          <w:p w14:paraId="0E561C08" w14:textId="77777777" w:rsidR="00D76D70" w:rsidRPr="00644AAB" w:rsidRDefault="00D76D70" w:rsidP="003573BF">
            <w:pPr>
              <w:pStyle w:val="TableTextLeft"/>
              <w:spacing w:before="0"/>
            </w:pPr>
            <w:r w:rsidRPr="00644AAB">
              <w:t>Government of Papua New Guinea </w:t>
            </w:r>
          </w:p>
        </w:tc>
        <w:tc>
          <w:tcPr>
            <w:tcW w:w="854" w:type="pct"/>
            <w:shd w:val="clear" w:color="auto" w:fill="auto"/>
          </w:tcPr>
          <w:p w14:paraId="187E19E1" w14:textId="1E65E902" w:rsidR="00D76D70" w:rsidRPr="00644AAB" w:rsidRDefault="00D76D70" w:rsidP="003573BF">
            <w:pPr>
              <w:pStyle w:val="TableTextLeft"/>
              <w:spacing w:before="0"/>
            </w:pPr>
            <w:r w:rsidRPr="00644AAB">
              <w:t>Commonwealth cost of</w:t>
            </w:r>
            <w:r w:rsidR="00CB2EBF">
              <w:t> </w:t>
            </w:r>
            <w:r w:rsidRPr="00644AAB">
              <w:t>borrowing plus 0.5</w:t>
            </w:r>
            <w:r>
              <w:t> per cent </w:t>
            </w:r>
          </w:p>
        </w:tc>
        <w:tc>
          <w:tcPr>
            <w:tcW w:w="523" w:type="pct"/>
            <w:shd w:val="clear" w:color="auto" w:fill="auto"/>
          </w:tcPr>
          <w:p w14:paraId="38B37E57" w14:textId="77777777" w:rsidR="00D76D70" w:rsidRPr="00644AAB" w:rsidRDefault="00D76D70" w:rsidP="003573BF">
            <w:pPr>
              <w:pStyle w:val="TableTextLeft"/>
              <w:spacing w:before="0"/>
            </w:pPr>
            <w:r w:rsidRPr="00644AAB">
              <w:t>20 years </w:t>
            </w:r>
          </w:p>
        </w:tc>
        <w:tc>
          <w:tcPr>
            <w:tcW w:w="510" w:type="pct"/>
            <w:shd w:val="clear" w:color="auto" w:fill="auto"/>
          </w:tcPr>
          <w:p w14:paraId="5902B2E2" w14:textId="77777777" w:rsidR="00D76D70" w:rsidRPr="00644AAB" w:rsidRDefault="00D76D70" w:rsidP="003573BF">
            <w:pPr>
              <w:pStyle w:val="TableTextLeft"/>
              <w:spacing w:before="0"/>
            </w:pPr>
            <w:r w:rsidRPr="00644AAB">
              <w:t>Unchanged </w:t>
            </w:r>
          </w:p>
        </w:tc>
      </w:tr>
      <w:tr w:rsidR="009B41FD" w:rsidRPr="00B832E0" w14:paraId="5C0D7F97" w14:textId="77777777" w:rsidTr="00CB2EBF">
        <w:trPr>
          <w:trHeight w:val="70"/>
        </w:trPr>
        <w:tc>
          <w:tcPr>
            <w:tcW w:w="1283" w:type="pct"/>
            <w:shd w:val="clear" w:color="auto" w:fill="auto"/>
          </w:tcPr>
          <w:p w14:paraId="1CBADF9C" w14:textId="77777777" w:rsidR="00D76D70" w:rsidRPr="00B832E0" w:rsidRDefault="00D76D70" w:rsidP="00913BEE">
            <w:pPr>
              <w:pStyle w:val="TableTextLeft"/>
              <w:spacing w:before="100" w:beforeAutospacing="1"/>
              <w:rPr>
                <w:rFonts w:cs="Arial"/>
                <w:szCs w:val="16"/>
              </w:rPr>
            </w:pPr>
            <w:r>
              <w:rPr>
                <w:rFonts w:cs="Arial"/>
                <w:szCs w:val="16"/>
              </w:rPr>
              <w:t xml:space="preserve">2022 </w:t>
            </w:r>
            <w:r w:rsidRPr="00B832E0">
              <w:rPr>
                <w:rFonts w:cs="Arial"/>
                <w:szCs w:val="16"/>
              </w:rPr>
              <w:t>Loan Agreement between the Australian Government and the Government of Papua New Guinea </w:t>
            </w:r>
          </w:p>
        </w:tc>
        <w:tc>
          <w:tcPr>
            <w:tcW w:w="608" w:type="pct"/>
            <w:shd w:val="clear" w:color="auto" w:fill="auto"/>
          </w:tcPr>
          <w:p w14:paraId="48211460" w14:textId="77777777" w:rsidR="00D76D70" w:rsidRPr="00B832E0" w:rsidRDefault="00D76D70" w:rsidP="003573BF">
            <w:pPr>
              <w:pStyle w:val="TableTextRight"/>
              <w:spacing w:before="0"/>
              <w:rPr>
                <w:rFonts w:cs="Arial"/>
                <w:szCs w:val="16"/>
              </w:rPr>
            </w:pPr>
            <w:r>
              <w:rPr>
                <w:rFonts w:cs="Arial"/>
                <w:szCs w:val="16"/>
              </w:rPr>
              <w:t>350</w:t>
            </w:r>
          </w:p>
        </w:tc>
        <w:tc>
          <w:tcPr>
            <w:tcW w:w="1222" w:type="pct"/>
            <w:shd w:val="clear" w:color="auto" w:fill="auto"/>
          </w:tcPr>
          <w:p w14:paraId="38178343" w14:textId="77777777" w:rsidR="00D76D70" w:rsidRPr="00644AAB" w:rsidRDefault="00D76D70" w:rsidP="003573BF">
            <w:pPr>
              <w:pStyle w:val="TableTextLeft"/>
              <w:spacing w:before="0"/>
            </w:pPr>
            <w:r w:rsidRPr="00644AAB">
              <w:t>Government of Papua New Guinea </w:t>
            </w:r>
          </w:p>
        </w:tc>
        <w:tc>
          <w:tcPr>
            <w:tcW w:w="854" w:type="pct"/>
            <w:shd w:val="clear" w:color="auto" w:fill="auto"/>
          </w:tcPr>
          <w:p w14:paraId="791379C1" w14:textId="4F076B5D" w:rsidR="00D76D70" w:rsidRPr="00644AAB" w:rsidRDefault="00D76D70" w:rsidP="003573BF">
            <w:pPr>
              <w:pStyle w:val="TableTextLeft"/>
              <w:spacing w:before="0"/>
            </w:pPr>
            <w:r w:rsidRPr="00644AAB">
              <w:t>Commonwealth cost of</w:t>
            </w:r>
            <w:r w:rsidR="00CB2EBF">
              <w:t> </w:t>
            </w:r>
            <w:r w:rsidRPr="00644AAB">
              <w:t xml:space="preserve">borrowing </w:t>
            </w:r>
          </w:p>
        </w:tc>
        <w:tc>
          <w:tcPr>
            <w:tcW w:w="523" w:type="pct"/>
            <w:shd w:val="clear" w:color="auto" w:fill="auto"/>
          </w:tcPr>
          <w:p w14:paraId="7B32C7D6" w14:textId="77777777" w:rsidR="00D76D70" w:rsidRPr="00644AAB" w:rsidRDefault="00D76D70" w:rsidP="003573BF">
            <w:pPr>
              <w:pStyle w:val="TableTextLeft"/>
              <w:spacing w:before="0"/>
            </w:pPr>
            <w:r>
              <w:t>20 years</w:t>
            </w:r>
          </w:p>
        </w:tc>
        <w:tc>
          <w:tcPr>
            <w:tcW w:w="510" w:type="pct"/>
            <w:shd w:val="clear" w:color="auto" w:fill="auto"/>
          </w:tcPr>
          <w:p w14:paraId="66295E24" w14:textId="77777777" w:rsidR="00D76D70" w:rsidRPr="00644AAB" w:rsidRDefault="00D76D70" w:rsidP="003573BF">
            <w:pPr>
              <w:pStyle w:val="TableTextLeft"/>
              <w:spacing w:before="0"/>
            </w:pPr>
            <w:r>
              <w:t>Modified</w:t>
            </w:r>
            <w:r w:rsidRPr="00644AAB">
              <w:t> </w:t>
            </w:r>
          </w:p>
        </w:tc>
      </w:tr>
      <w:tr w:rsidR="009B41FD" w:rsidRPr="00B832E0" w14:paraId="0380320E" w14:textId="77777777" w:rsidTr="00CB2EBF">
        <w:trPr>
          <w:trHeight w:val="70"/>
        </w:trPr>
        <w:tc>
          <w:tcPr>
            <w:tcW w:w="1283" w:type="pct"/>
            <w:shd w:val="clear" w:color="auto" w:fill="auto"/>
          </w:tcPr>
          <w:p w14:paraId="0CE4AF02" w14:textId="77777777" w:rsidR="00D76D70" w:rsidRDefault="00D76D70" w:rsidP="00913BEE">
            <w:pPr>
              <w:pStyle w:val="TableTextLeft"/>
              <w:spacing w:before="100" w:beforeAutospacing="1"/>
              <w:rPr>
                <w:rFonts w:cs="Arial"/>
                <w:szCs w:val="16"/>
              </w:rPr>
            </w:pPr>
            <w:r>
              <w:rPr>
                <w:rFonts w:cs="Arial"/>
                <w:szCs w:val="16"/>
              </w:rPr>
              <w:t xml:space="preserve">2023 </w:t>
            </w:r>
            <w:r w:rsidRPr="00B832E0">
              <w:rPr>
                <w:rFonts w:cs="Arial"/>
                <w:szCs w:val="16"/>
              </w:rPr>
              <w:t>Loan Agreement between the Australian Government and the Government of Papua New Guinea </w:t>
            </w:r>
          </w:p>
        </w:tc>
        <w:tc>
          <w:tcPr>
            <w:tcW w:w="608" w:type="pct"/>
            <w:shd w:val="clear" w:color="auto" w:fill="auto"/>
          </w:tcPr>
          <w:p w14:paraId="3C1A8976" w14:textId="77777777" w:rsidR="00D76D70" w:rsidRDefault="00D76D70" w:rsidP="003573BF">
            <w:pPr>
              <w:pStyle w:val="TableTextRight"/>
              <w:spacing w:before="0"/>
              <w:rPr>
                <w:rFonts w:cs="Arial"/>
                <w:szCs w:val="16"/>
              </w:rPr>
            </w:pPr>
            <w:r>
              <w:rPr>
                <w:rFonts w:cs="Arial"/>
                <w:szCs w:val="16"/>
              </w:rPr>
              <w:t>344</w:t>
            </w:r>
          </w:p>
        </w:tc>
        <w:tc>
          <w:tcPr>
            <w:tcW w:w="1222" w:type="pct"/>
            <w:shd w:val="clear" w:color="auto" w:fill="auto"/>
          </w:tcPr>
          <w:p w14:paraId="61185460" w14:textId="77777777" w:rsidR="00D76D70" w:rsidRPr="00644AAB" w:rsidRDefault="00D76D70" w:rsidP="003573BF">
            <w:pPr>
              <w:pStyle w:val="TableTextLeft"/>
              <w:spacing w:before="0"/>
            </w:pPr>
            <w:r w:rsidRPr="00644AAB">
              <w:t>Government of Papua New Guinea </w:t>
            </w:r>
          </w:p>
        </w:tc>
        <w:tc>
          <w:tcPr>
            <w:tcW w:w="854" w:type="pct"/>
            <w:shd w:val="clear" w:color="auto" w:fill="auto"/>
          </w:tcPr>
          <w:p w14:paraId="7D69BEEA" w14:textId="4A766910" w:rsidR="00D76D70" w:rsidRPr="00644AAB" w:rsidRDefault="00D76D70" w:rsidP="003573BF">
            <w:pPr>
              <w:pStyle w:val="TableTextLeft"/>
              <w:spacing w:before="0"/>
            </w:pPr>
            <w:r>
              <w:t>Commonwealth cost of</w:t>
            </w:r>
            <w:r w:rsidR="00CB2EBF">
              <w:t> </w:t>
            </w:r>
            <w:r>
              <w:t>borrowing</w:t>
            </w:r>
          </w:p>
        </w:tc>
        <w:tc>
          <w:tcPr>
            <w:tcW w:w="523" w:type="pct"/>
            <w:shd w:val="clear" w:color="auto" w:fill="auto"/>
          </w:tcPr>
          <w:p w14:paraId="5CCE0141" w14:textId="77777777" w:rsidR="00D76D70" w:rsidRDefault="00D76D70" w:rsidP="003573BF">
            <w:pPr>
              <w:pStyle w:val="TableTextLeft"/>
              <w:spacing w:before="0"/>
            </w:pPr>
            <w:r>
              <w:t>20 years</w:t>
            </w:r>
          </w:p>
        </w:tc>
        <w:tc>
          <w:tcPr>
            <w:tcW w:w="510" w:type="pct"/>
            <w:shd w:val="clear" w:color="auto" w:fill="auto"/>
          </w:tcPr>
          <w:p w14:paraId="66130A54" w14:textId="77777777" w:rsidR="00D76D70" w:rsidRPr="00644AAB" w:rsidRDefault="00D76D70" w:rsidP="003573BF">
            <w:pPr>
              <w:pStyle w:val="TableTextLeft"/>
              <w:spacing w:before="0"/>
            </w:pPr>
            <w:r>
              <w:t>New</w:t>
            </w:r>
          </w:p>
        </w:tc>
      </w:tr>
    </w:tbl>
    <w:p w14:paraId="680CE806" w14:textId="509C39EA" w:rsidR="00824F48" w:rsidRPr="00323602" w:rsidRDefault="00824F48" w:rsidP="00E274CD">
      <w:pPr>
        <w:pStyle w:val="ChartandTableFootnoteAlpha"/>
        <w:numPr>
          <w:ilvl w:val="0"/>
          <w:numId w:val="29"/>
        </w:numPr>
      </w:pPr>
      <w:r w:rsidRPr="00323602">
        <w:t xml:space="preserve">Loan amount is the </w:t>
      </w:r>
      <w:r w:rsidRPr="00EE1C72">
        <w:t>estimated</w:t>
      </w:r>
      <w:r w:rsidRPr="00323602">
        <w:t xml:space="preserve"> loan program amounts outstanding as </w:t>
      </w:r>
      <w:r w:rsidRPr="00E274CD">
        <w:t>at</w:t>
      </w:r>
      <w:r w:rsidRPr="00323602">
        <w:t xml:space="preserve"> 30 June 2024 in $ million. </w:t>
      </w:r>
    </w:p>
    <w:p w14:paraId="522E1D13" w14:textId="1394A33C" w:rsidR="00824F48" w:rsidRPr="00323602" w:rsidRDefault="00824F48" w:rsidP="00E274CD">
      <w:pPr>
        <w:pStyle w:val="ChartandTableFootnoteAlpha"/>
        <w:numPr>
          <w:ilvl w:val="0"/>
          <w:numId w:val="29"/>
        </w:numPr>
      </w:pPr>
      <w:r w:rsidRPr="00323602">
        <w:t xml:space="preserve">Status of loan items are </w:t>
      </w:r>
      <w:r w:rsidRPr="00E274CD">
        <w:t>considered</w:t>
      </w:r>
      <w:r w:rsidRPr="00323602">
        <w:t xml:space="preserve"> </w:t>
      </w:r>
      <w:r w:rsidR="00D737F9">
        <w:t>‘</w:t>
      </w:r>
      <w:r w:rsidRPr="00323602">
        <w:t>unchanged</w:t>
      </w:r>
      <w:r w:rsidR="00D737F9">
        <w:t>’</w:t>
      </w:r>
      <w:r w:rsidRPr="00323602">
        <w:t xml:space="preserve"> unless there are modifications to respective interest rates and/or loan term. </w:t>
      </w:r>
    </w:p>
    <w:p w14:paraId="6A2D82AB" w14:textId="77777777" w:rsidR="007B66E7" w:rsidRPr="00F715F0" w:rsidRDefault="007B66E7" w:rsidP="00EE1C72">
      <w:pPr>
        <w:pStyle w:val="ChartandTableFootnoteAlpha"/>
        <w:numPr>
          <w:ilvl w:val="0"/>
          <w:numId w:val="29"/>
        </w:numPr>
      </w:pPr>
      <w:r w:rsidRPr="00323602">
        <w:t>The Government has established the National Reconstruction Fund, which will offer loans and guarantees and make equity investments in a range of emerging technologies and technically complex projects. These investments carry the inherent risks associated with investing in a large and diverse portfolio of financial</w:t>
      </w:r>
      <w:r w:rsidRPr="00F715F0">
        <w:t xml:space="preserve"> assets. Details will be provided in this disclosure once loans, guarantees and investments are made. </w:t>
      </w:r>
    </w:p>
    <w:p w14:paraId="5B2656E0" w14:textId="50DD7CF7" w:rsidR="00D80D7C" w:rsidRDefault="007B66E7" w:rsidP="00EE1C72">
      <w:pPr>
        <w:pStyle w:val="ChartandTableFootnote"/>
      </w:pPr>
      <w:r w:rsidRPr="007B66E7">
        <w:t>Note:</w:t>
      </w:r>
      <w:r w:rsidR="00EE1C72">
        <w:tab/>
      </w:r>
      <w:r w:rsidR="00AA442C" w:rsidRPr="007B66E7">
        <w:t>The Australian Government will provide Snowy Hydro</w:t>
      </w:r>
      <w:r w:rsidR="00281B41" w:rsidRPr="007B66E7">
        <w:t xml:space="preserve"> Limited</w:t>
      </w:r>
      <w:r w:rsidR="00AA442C" w:rsidRPr="007B66E7">
        <w:t xml:space="preserve"> with a loan of up to $4.5</w:t>
      </w:r>
      <w:r w:rsidR="0023629A" w:rsidRPr="007B66E7">
        <w:t> billion</w:t>
      </w:r>
      <w:r w:rsidR="00AA442C" w:rsidRPr="007B66E7">
        <w:t xml:space="preserve"> on commercial terms to put towards completion of Snowy 2.0. The loan will commence in 2024</w:t>
      </w:r>
      <w:r w:rsidR="00904C71">
        <w:t>–</w:t>
      </w:r>
      <w:r w:rsidR="00AA442C" w:rsidRPr="007B66E7">
        <w:t>25 and is expected to be refinanced by Snowy Hydro from 2029</w:t>
      </w:r>
      <w:r w:rsidR="00904C71">
        <w:t>–</w:t>
      </w:r>
      <w:r w:rsidR="00AA442C" w:rsidRPr="007B66E7">
        <w:t>30 onwards, once Snowy 2.0 is operational.</w:t>
      </w:r>
    </w:p>
    <w:p w14:paraId="3503ECCC" w14:textId="77777777" w:rsidR="003C3EEA" w:rsidRDefault="003C3EEA" w:rsidP="00831317">
      <w:pPr>
        <w:pStyle w:val="ChartLine"/>
      </w:pPr>
    </w:p>
    <w:p w14:paraId="78F23A1F" w14:textId="76049A54" w:rsidR="00831317" w:rsidRPr="00831317" w:rsidRDefault="00831317" w:rsidP="00831317">
      <w:pPr>
        <w:pStyle w:val="ChartLine"/>
        <w:rPr>
          <w:sz w:val="2"/>
          <w:szCs w:val="2"/>
        </w:rPr>
        <w:sectPr w:rsidR="00831317" w:rsidRPr="00831317" w:rsidSect="007F4042">
          <w:headerReference w:type="even" r:id="rId24"/>
          <w:headerReference w:type="default" r:id="rId25"/>
          <w:footerReference w:type="even" r:id="rId26"/>
          <w:footerReference w:type="default" r:id="rId27"/>
          <w:headerReference w:type="first" r:id="rId28"/>
          <w:footerReference w:type="first" r:id="rId29"/>
          <w:pgSz w:w="16840" w:h="11907" w:code="9"/>
          <w:pgMar w:top="2098" w:right="2835" w:bottom="2098" w:left="2466" w:header="1531" w:footer="1531" w:gutter="0"/>
          <w:cols w:space="708"/>
          <w:docGrid w:linePitch="360"/>
        </w:sectPr>
      </w:pPr>
    </w:p>
    <w:p w14:paraId="67FC42FD" w14:textId="77777777" w:rsidR="009D70F5" w:rsidRPr="00B832E0" w:rsidRDefault="009D70F5" w:rsidP="001078E4">
      <w:pPr>
        <w:pStyle w:val="Heading3"/>
        <w:rPr>
          <w:rFonts w:eastAsia="Arial"/>
        </w:rPr>
      </w:pPr>
      <w:bookmarkStart w:id="216" w:name="_Toc99141903"/>
      <w:bookmarkStart w:id="217" w:name="_Toc166165540"/>
      <w:r w:rsidRPr="00B832E0">
        <w:rPr>
          <w:rFonts w:eastAsia="Arial"/>
        </w:rPr>
        <w:lastRenderedPageBreak/>
        <w:t xml:space="preserve">Agriculture, Fisheries and </w:t>
      </w:r>
      <w:bookmarkEnd w:id="216"/>
      <w:r w:rsidRPr="00B832E0">
        <w:rPr>
          <w:rFonts w:eastAsia="Arial"/>
        </w:rPr>
        <w:t>Forestry</w:t>
      </w:r>
      <w:bookmarkEnd w:id="217"/>
    </w:p>
    <w:p w14:paraId="31527AB5" w14:textId="5A36D4B3" w:rsidR="00366CF0" w:rsidRPr="005F06B9" w:rsidRDefault="00366CF0" w:rsidP="001078E4">
      <w:pPr>
        <w:pStyle w:val="Heading4"/>
        <w:rPr>
          <w:rFonts w:eastAsia="Arial"/>
        </w:rPr>
      </w:pPr>
      <w:bookmarkStart w:id="218" w:name="_Toc99141904"/>
      <w:r w:rsidRPr="005F06B9">
        <w:rPr>
          <w:rFonts w:eastAsia="Arial"/>
        </w:rPr>
        <w:t>Drought</w:t>
      </w:r>
      <w:r w:rsidR="00D737F9">
        <w:rPr>
          <w:rFonts w:eastAsia="Arial"/>
        </w:rPr>
        <w:noBreakHyphen/>
      </w:r>
      <w:r w:rsidRPr="005F06B9">
        <w:rPr>
          <w:rFonts w:eastAsia="Arial"/>
        </w:rPr>
        <w:t xml:space="preserve">related and farm finance concessional loans </w:t>
      </w:r>
      <w:r>
        <w:rPr>
          <w:rFonts w:eastAsia="Calibri"/>
        </w:rPr>
        <w:t>–</w:t>
      </w:r>
      <w:r w:rsidRPr="005F06B9">
        <w:rPr>
          <w:rFonts w:eastAsia="Arial"/>
        </w:rPr>
        <w:t xml:space="preserve"> Agriculture</w:t>
      </w:r>
    </w:p>
    <w:p w14:paraId="443A4899" w14:textId="709A262F" w:rsidR="00366CF0" w:rsidRPr="00AE1F4D" w:rsidRDefault="00366CF0" w:rsidP="00CB2EBF">
      <w:r w:rsidRPr="00AE1F4D">
        <w:t>As at 30</w:t>
      </w:r>
      <w:r w:rsidR="0023629A">
        <w:t> June </w:t>
      </w:r>
      <w:r w:rsidRPr="00AE1F4D">
        <w:t>202</w:t>
      </w:r>
      <w:r>
        <w:t>4</w:t>
      </w:r>
      <w:r w:rsidRPr="00AE1F4D">
        <w:t>, the fair value of farm business, drought and dairy farm related loans is estimated to total $</w:t>
      </w:r>
      <w:r>
        <w:t>164.6</w:t>
      </w:r>
      <w:r w:rsidR="0023629A">
        <w:t> </w:t>
      </w:r>
      <w:r w:rsidRPr="00AE1F4D">
        <w:t>million.</w:t>
      </w:r>
    </w:p>
    <w:p w14:paraId="0AFFDD11" w14:textId="57260C87" w:rsidR="00366CF0" w:rsidRPr="00CB2EBF" w:rsidRDefault="00366CF0" w:rsidP="00CB2EBF">
      <w:r w:rsidRPr="00AE1F4D">
        <w:rPr>
          <w:b/>
          <w:bCs/>
        </w:rPr>
        <w:t xml:space="preserve">Drought Recovery and Dairy Recovery Concessional Loans Scheme: </w:t>
      </w:r>
      <w:r w:rsidRPr="00AE1F4D">
        <w:t>The drought recovery component of this scheme provided loans to farm businesses affected by unprecedented drought or, where applicable, Queensland farm businesses directly impacted by the combined effects of drought and the mid</w:t>
      </w:r>
      <w:r w:rsidR="00D737F9">
        <w:noBreakHyphen/>
      </w:r>
      <w:r w:rsidRPr="00AE1F4D">
        <w:t>2011 disruption to live cattle exports to Indonesia. The loans funded planting and restocking activities and associated expenses when seasonal conditions allowed. The loans were available from</w:t>
      </w:r>
      <w:r w:rsidR="00D9795C">
        <w:t> January </w:t>
      </w:r>
      <w:r w:rsidRPr="00AE1F4D">
        <w:t>2015 and</w:t>
      </w:r>
      <w:r>
        <w:t>,</w:t>
      </w:r>
      <w:r w:rsidRPr="00AE1F4D">
        <w:t xml:space="preserve"> in 2014–15</w:t>
      </w:r>
      <w:r>
        <w:t>,</w:t>
      </w:r>
      <w:r w:rsidRPr="00AE1F4D">
        <w:t xml:space="preserve"> operated in Queensland and New South Wales. In 2015–16, drought recovery concessional loans were available in Queensland, New South Wales, South Australia and Tasmania</w:t>
      </w:r>
      <w:r w:rsidR="00042053" w:rsidRPr="00AE1F4D">
        <w:t>.</w:t>
      </w:r>
    </w:p>
    <w:p w14:paraId="14D09398" w14:textId="5F906A07" w:rsidR="00366CF0" w:rsidRPr="00AE1F4D" w:rsidRDefault="00366CF0" w:rsidP="00CB2EBF">
      <w:r w:rsidRPr="00AE1F4D">
        <w:t>The dairy recovery component of this scheme provided concessional loans to dairy farm businesses affected by the 2016 reduction in farm gate milk prices by Murray Goulburn, Fonterra and National Dairy Products. Loans were available for debt restructuring, providing new debt for operating expenses or productivity enhancement activities, or a combination of these purposes. Dairy recovery concessional loans became available in Victoria, New South Wales, South Australia and Tasmania from</w:t>
      </w:r>
      <w:r w:rsidR="0023629A">
        <w:t> June </w:t>
      </w:r>
      <w:r w:rsidRPr="00AE1F4D">
        <w:t>2016. Applications closed on 31</w:t>
      </w:r>
      <w:r w:rsidR="005E66ED">
        <w:t> </w:t>
      </w:r>
      <w:r w:rsidRPr="00AE1F4D">
        <w:t>October</w:t>
      </w:r>
      <w:r w:rsidR="005E66ED">
        <w:t> </w:t>
      </w:r>
      <w:r w:rsidRPr="00AE1F4D">
        <w:t>2016. A dairy recovery concessional loan product was available under the Farm Business Concessional Loans Scheme until 30</w:t>
      </w:r>
      <w:r w:rsidR="0023629A">
        <w:t> June </w:t>
      </w:r>
      <w:r w:rsidRPr="00AE1F4D">
        <w:t>2018.</w:t>
      </w:r>
    </w:p>
    <w:p w14:paraId="20BAED76" w14:textId="63CAF148" w:rsidR="00366CF0" w:rsidRPr="00AE1F4D" w:rsidRDefault="00366CF0" w:rsidP="00CB2EBF">
      <w:pPr>
        <w:rPr>
          <w:rFonts w:cstheme="minorHAnsi"/>
        </w:rPr>
      </w:pPr>
      <w:r w:rsidRPr="00AE1F4D">
        <w:rPr>
          <w:rFonts w:cstheme="minorHAnsi"/>
        </w:rPr>
        <w:t>As at 1</w:t>
      </w:r>
      <w:r w:rsidR="00D9795C">
        <w:rPr>
          <w:rFonts w:cstheme="minorHAnsi"/>
        </w:rPr>
        <w:t> February </w:t>
      </w:r>
      <w:r>
        <w:rPr>
          <w:rFonts w:cstheme="minorHAnsi"/>
        </w:rPr>
        <w:t>2024</w:t>
      </w:r>
      <w:r w:rsidRPr="00AE1F4D">
        <w:rPr>
          <w:rFonts w:cstheme="minorHAnsi"/>
        </w:rPr>
        <w:t>, the scheme</w:t>
      </w:r>
      <w:r w:rsidR="00D737F9">
        <w:rPr>
          <w:rFonts w:cstheme="minorHAnsi"/>
        </w:rPr>
        <w:t>’</w:t>
      </w:r>
      <w:r w:rsidRPr="00AE1F4D">
        <w:rPr>
          <w:rFonts w:cstheme="minorHAnsi"/>
        </w:rPr>
        <w:t xml:space="preserve">s interest rate was </w:t>
      </w:r>
      <w:r>
        <w:rPr>
          <w:rFonts w:cstheme="minorHAnsi"/>
        </w:rPr>
        <w:t>4.06</w:t>
      </w:r>
      <w:r w:rsidR="00BD3D7E">
        <w:rPr>
          <w:rFonts w:cstheme="minorHAnsi"/>
        </w:rPr>
        <w:t> per cent</w:t>
      </w:r>
      <w:r w:rsidRPr="00AE1F4D">
        <w:rPr>
          <w:rFonts w:cstheme="minorHAnsi"/>
        </w:rPr>
        <w:t>, reviewed on a six</w:t>
      </w:r>
      <w:r w:rsidR="00D737F9">
        <w:rPr>
          <w:rFonts w:cstheme="minorHAnsi"/>
        </w:rPr>
        <w:noBreakHyphen/>
      </w:r>
      <w:r w:rsidRPr="00AE1F4D">
        <w:rPr>
          <w:rFonts w:cstheme="minorHAnsi"/>
        </w:rPr>
        <w:t>monthly basis and revised in accordance with changes in the ten</w:t>
      </w:r>
      <w:r w:rsidR="00D737F9">
        <w:rPr>
          <w:rFonts w:cstheme="minorHAnsi"/>
        </w:rPr>
        <w:noBreakHyphen/>
      </w:r>
      <w:r w:rsidRPr="00AE1F4D">
        <w:rPr>
          <w:rFonts w:cstheme="minorHAnsi"/>
        </w:rPr>
        <w:t xml:space="preserve">year </w:t>
      </w:r>
      <w:r w:rsidR="001F3211">
        <w:rPr>
          <w:rFonts w:cstheme="minorHAnsi"/>
        </w:rPr>
        <w:t>Australian</w:t>
      </w:r>
      <w:r w:rsidR="00CB2EBF">
        <w:rPr>
          <w:rFonts w:cstheme="minorHAnsi"/>
        </w:rPr>
        <w:t xml:space="preserve"> </w:t>
      </w:r>
      <w:r w:rsidR="001F3211">
        <w:rPr>
          <w:rFonts w:cstheme="minorHAnsi"/>
        </w:rPr>
        <w:t>Government</w:t>
      </w:r>
      <w:r w:rsidRPr="00AE1F4D">
        <w:rPr>
          <w:rFonts w:cstheme="minorHAnsi"/>
        </w:rPr>
        <w:t xml:space="preserve"> bond rate. Loans have a maximum term of ten years with interest</w:t>
      </w:r>
      <w:r w:rsidR="00D737F9">
        <w:rPr>
          <w:rFonts w:cstheme="minorHAnsi"/>
        </w:rPr>
        <w:noBreakHyphen/>
      </w:r>
      <w:r w:rsidRPr="00AE1F4D">
        <w:rPr>
          <w:rFonts w:cstheme="minorHAnsi"/>
        </w:rPr>
        <w:t xml:space="preserve">only payments required for the first </w:t>
      </w:r>
      <w:r>
        <w:rPr>
          <w:rFonts w:cstheme="minorHAnsi"/>
        </w:rPr>
        <w:t>five</w:t>
      </w:r>
      <w:r w:rsidRPr="00AE1F4D">
        <w:rPr>
          <w:rFonts w:cstheme="minorHAnsi"/>
        </w:rPr>
        <w:t xml:space="preserve"> years. Principal and interest repayments will be made in the remaining </w:t>
      </w:r>
      <w:r>
        <w:rPr>
          <w:rFonts w:cstheme="minorHAnsi"/>
        </w:rPr>
        <w:t>five</w:t>
      </w:r>
      <w:r w:rsidRPr="00AE1F4D">
        <w:rPr>
          <w:rFonts w:cstheme="minorHAnsi"/>
        </w:rPr>
        <w:t xml:space="preserve"> years of the loan term.</w:t>
      </w:r>
    </w:p>
    <w:p w14:paraId="3E348708" w14:textId="73228E17" w:rsidR="00366CF0" w:rsidRPr="00CB2EBF" w:rsidRDefault="00366CF0" w:rsidP="00CB2EBF">
      <w:r w:rsidRPr="00AE1F4D">
        <w:rPr>
          <w:rFonts w:cstheme="minorHAnsi"/>
          <w:b/>
          <w:bCs/>
        </w:rPr>
        <w:t xml:space="preserve">Farm Business Concessional Loans Scheme: </w:t>
      </w:r>
      <w:r w:rsidRPr="00AE1F4D">
        <w:rPr>
          <w:rFonts w:cstheme="minorHAnsi"/>
        </w:rPr>
        <w:t>This scheme provided three types of concessional loans: drought assistance, dairy recovery and business improvement. This scheme was designed to cover a farmer</w:t>
      </w:r>
      <w:r w:rsidR="00D737F9">
        <w:rPr>
          <w:rFonts w:cstheme="minorHAnsi"/>
        </w:rPr>
        <w:t>’</w:t>
      </w:r>
      <w:r w:rsidRPr="00AE1F4D">
        <w:rPr>
          <w:rFonts w:cstheme="minorHAnsi"/>
        </w:rPr>
        <w:t>s short</w:t>
      </w:r>
      <w:r w:rsidR="00D737F9">
        <w:rPr>
          <w:rFonts w:cstheme="minorHAnsi"/>
        </w:rPr>
        <w:noBreakHyphen/>
      </w:r>
      <w:r w:rsidRPr="00AE1F4D">
        <w:rPr>
          <w:rFonts w:cstheme="minorHAnsi"/>
        </w:rPr>
        <w:t>term needs when income was tight and to supplement, rather than replace, commercial finance. Loans under the scheme were first available in</w:t>
      </w:r>
      <w:r w:rsidR="00D9795C">
        <w:rPr>
          <w:rFonts w:cstheme="minorHAnsi"/>
        </w:rPr>
        <w:t> November </w:t>
      </w:r>
      <w:r w:rsidRPr="00AE1F4D">
        <w:rPr>
          <w:rFonts w:cstheme="minorHAnsi"/>
        </w:rPr>
        <w:t>2016. Applications for loans under the scheme closed on 30</w:t>
      </w:r>
      <w:r w:rsidR="0023629A">
        <w:rPr>
          <w:rFonts w:cstheme="minorHAnsi"/>
        </w:rPr>
        <w:t> June </w:t>
      </w:r>
      <w:r w:rsidRPr="00AE1F4D">
        <w:rPr>
          <w:rFonts w:cstheme="minorHAnsi"/>
        </w:rPr>
        <w:t>2018.</w:t>
      </w:r>
    </w:p>
    <w:p w14:paraId="002D1C78" w14:textId="77777777" w:rsidR="00366CF0" w:rsidRPr="00AE1F4D" w:rsidRDefault="00366CF0" w:rsidP="00CB2EBF">
      <w:pPr>
        <w:rPr>
          <w:rFonts w:cstheme="minorHAnsi"/>
        </w:rPr>
      </w:pPr>
      <w:r w:rsidRPr="00AE1F4D">
        <w:rPr>
          <w:rFonts w:cstheme="minorHAnsi"/>
        </w:rPr>
        <w:t>Drought assistance concessional loans were available in Queensland, New South Wales, Victoria, South Australia, Tasmania and the Northern Territory. Loans were available for debt restructuring, operating expenses, drought preparedness activities or drought recovery activities or a combination of these purposes.</w:t>
      </w:r>
    </w:p>
    <w:p w14:paraId="5DA9E3E9" w14:textId="530A9593" w:rsidR="00366CF0" w:rsidRPr="00AE1F4D" w:rsidRDefault="00366CF0" w:rsidP="00CB2EBF">
      <w:pPr>
        <w:rPr>
          <w:rFonts w:cstheme="minorHAnsi"/>
        </w:rPr>
      </w:pPr>
      <w:r w:rsidRPr="00AE1F4D">
        <w:rPr>
          <w:rFonts w:cstheme="minorHAnsi"/>
        </w:rPr>
        <w:t xml:space="preserve">Business improvement concessional loans were available in Queensland, New South Wales, Victoria, South Australia, Tasmania and the Northern Territory. Loans were available for eligible Farm Household Allowance (FHA) recipients who were recovering from financial </w:t>
      </w:r>
      <w:r w:rsidRPr="00AE1F4D">
        <w:rPr>
          <w:rFonts w:cstheme="minorHAnsi"/>
        </w:rPr>
        <w:lastRenderedPageBreak/>
        <w:t>hardship and had exhausted or would exhaust their FHA 1,095</w:t>
      </w:r>
      <w:r w:rsidR="00D737F9">
        <w:rPr>
          <w:rFonts w:cstheme="minorHAnsi"/>
        </w:rPr>
        <w:noBreakHyphen/>
      </w:r>
      <w:r w:rsidRPr="00AE1F4D">
        <w:rPr>
          <w:rFonts w:cstheme="minorHAnsi"/>
        </w:rPr>
        <w:t>day income support entitlement by 30</w:t>
      </w:r>
      <w:r w:rsidR="0023629A">
        <w:rPr>
          <w:rFonts w:cstheme="minorHAnsi"/>
        </w:rPr>
        <w:t> June </w:t>
      </w:r>
      <w:r w:rsidRPr="00AE1F4D">
        <w:rPr>
          <w:rFonts w:cstheme="minorHAnsi"/>
        </w:rPr>
        <w:t>2018. These loans were for debt restructuring only.</w:t>
      </w:r>
    </w:p>
    <w:p w14:paraId="599943F3" w14:textId="0E0A2EC7" w:rsidR="00366CF0" w:rsidRPr="00AE1F4D" w:rsidRDefault="00366CF0" w:rsidP="00CB2EBF">
      <w:pPr>
        <w:rPr>
          <w:rFonts w:cstheme="minorHAnsi"/>
        </w:rPr>
      </w:pPr>
      <w:r w:rsidRPr="00AE1F4D">
        <w:rPr>
          <w:rFonts w:cstheme="minorHAnsi"/>
        </w:rPr>
        <w:t>Dairy recovery concessional loans were available in New South Wales, Victoria, South</w:t>
      </w:r>
      <w:r w:rsidR="00FE39BD">
        <w:rPr>
          <w:rFonts w:cstheme="minorHAnsi"/>
        </w:rPr>
        <w:t> </w:t>
      </w:r>
      <w:r w:rsidRPr="00AE1F4D">
        <w:rPr>
          <w:rFonts w:cstheme="minorHAnsi"/>
        </w:rPr>
        <w:t>Australia and Tasmania to eligible suppliers of Murray Goulburn, Fonterra and National Dairy Products. Loans were available for debt restructuring, providing new debt</w:t>
      </w:r>
      <w:r w:rsidR="00FE39BD">
        <w:rPr>
          <w:rFonts w:cstheme="minorHAnsi"/>
        </w:rPr>
        <w:t> </w:t>
      </w:r>
      <w:r w:rsidRPr="00AE1F4D">
        <w:rPr>
          <w:rFonts w:cstheme="minorHAnsi"/>
        </w:rPr>
        <w:t>for operating expenses, productivity enhancement activities or a combination of these</w:t>
      </w:r>
      <w:r w:rsidR="00FE39BD">
        <w:rPr>
          <w:rFonts w:cstheme="minorHAnsi"/>
        </w:rPr>
        <w:t> </w:t>
      </w:r>
      <w:r w:rsidRPr="00AE1F4D">
        <w:rPr>
          <w:rFonts w:cstheme="minorHAnsi"/>
        </w:rPr>
        <w:t>purposes.</w:t>
      </w:r>
    </w:p>
    <w:p w14:paraId="67D0B57D" w14:textId="1697C986" w:rsidR="00366CF0" w:rsidRPr="00AE1F4D" w:rsidRDefault="00366CF0" w:rsidP="00CB2EBF">
      <w:pPr>
        <w:rPr>
          <w:rFonts w:cstheme="minorHAnsi"/>
        </w:rPr>
      </w:pPr>
      <w:r w:rsidRPr="00AE1F4D">
        <w:rPr>
          <w:rFonts w:cstheme="minorHAnsi"/>
        </w:rPr>
        <w:t>As at 1</w:t>
      </w:r>
      <w:r w:rsidR="00D9795C">
        <w:rPr>
          <w:rFonts w:cstheme="minorHAnsi"/>
        </w:rPr>
        <w:t> February </w:t>
      </w:r>
      <w:r>
        <w:rPr>
          <w:rFonts w:cstheme="minorHAnsi"/>
        </w:rPr>
        <w:t>2024</w:t>
      </w:r>
      <w:r w:rsidRPr="00AE1F4D">
        <w:rPr>
          <w:rFonts w:cstheme="minorHAnsi"/>
        </w:rPr>
        <w:t xml:space="preserve">, the interest rate was </w:t>
      </w:r>
      <w:r>
        <w:rPr>
          <w:rFonts w:cstheme="minorHAnsi"/>
        </w:rPr>
        <w:t>4.46</w:t>
      </w:r>
      <w:r w:rsidR="00BD3D7E">
        <w:rPr>
          <w:rFonts w:cstheme="minorHAnsi"/>
        </w:rPr>
        <w:t> per cent</w:t>
      </w:r>
      <w:r w:rsidRPr="00AE1F4D">
        <w:rPr>
          <w:rFonts w:cstheme="minorHAnsi"/>
        </w:rPr>
        <w:t>, reviewed on a six</w:t>
      </w:r>
      <w:r w:rsidR="00D737F9">
        <w:rPr>
          <w:rFonts w:cstheme="minorHAnsi"/>
        </w:rPr>
        <w:noBreakHyphen/>
      </w:r>
      <w:r w:rsidRPr="00AE1F4D">
        <w:rPr>
          <w:rFonts w:cstheme="minorHAnsi"/>
        </w:rPr>
        <w:t>monthly basis and revised in accordance with changes in the ten</w:t>
      </w:r>
      <w:r w:rsidR="00D737F9">
        <w:rPr>
          <w:rFonts w:cstheme="minorHAnsi"/>
        </w:rPr>
        <w:noBreakHyphen/>
      </w:r>
      <w:r w:rsidRPr="00AE1F4D">
        <w:rPr>
          <w:rFonts w:cstheme="minorHAnsi"/>
        </w:rPr>
        <w:t xml:space="preserve">year </w:t>
      </w:r>
      <w:r w:rsidR="001F3211">
        <w:rPr>
          <w:rFonts w:cstheme="minorHAnsi"/>
        </w:rPr>
        <w:t>Australian Government</w:t>
      </w:r>
      <w:r w:rsidRPr="00AE1F4D">
        <w:rPr>
          <w:rFonts w:cstheme="minorHAnsi"/>
        </w:rPr>
        <w:t xml:space="preserve"> bond rate. Loans have a maximum term of ten years.</w:t>
      </w:r>
    </w:p>
    <w:p w14:paraId="4CCF720C" w14:textId="19B88CA0" w:rsidR="00366CF0" w:rsidRPr="00AC6AE8" w:rsidRDefault="00366CF0" w:rsidP="00CB2EBF">
      <w:r w:rsidRPr="1BEC0AA8">
        <w:rPr>
          <w:b/>
          <w:bCs/>
        </w:rPr>
        <w:t xml:space="preserve">Farm Finance Concessional Loans Scheme: </w:t>
      </w:r>
      <w:r>
        <w:t>This scheme provided concessional loans to</w:t>
      </w:r>
      <w:r w:rsidR="00CB2EBF">
        <w:t> </w:t>
      </w:r>
      <w:r>
        <w:t>eligible farm businesses experiencing financial difficulties that were considered commercially viable in the long</w:t>
      </w:r>
      <w:r w:rsidR="00D737F9">
        <w:noBreakHyphen/>
      </w:r>
      <w:r>
        <w:t>term, and were for productivity enhancements and debt restructuring. Applications for Farm Finance Concessional Loans closed on 30</w:t>
      </w:r>
      <w:r w:rsidR="0023629A">
        <w:t> June </w:t>
      </w:r>
      <w:r>
        <w:t>2015.</w:t>
      </w:r>
    </w:p>
    <w:p w14:paraId="4D5716F1" w14:textId="66BCB388" w:rsidR="00366CF0" w:rsidRPr="005F06B9" w:rsidRDefault="00366CF0" w:rsidP="001078E4">
      <w:pPr>
        <w:pStyle w:val="Heading4"/>
        <w:rPr>
          <w:rFonts w:eastAsia="Arial"/>
        </w:rPr>
      </w:pPr>
      <w:r w:rsidRPr="005F06B9">
        <w:rPr>
          <w:rFonts w:eastAsia="Arial"/>
        </w:rPr>
        <w:t>Farm Investment Loans, Drought Loans, AgriStarter Loans, AgBiz Drought Loans and AgRebuild Loans</w:t>
      </w:r>
    </w:p>
    <w:p w14:paraId="2117FA90" w14:textId="0C1E5C87" w:rsidR="00366CF0" w:rsidRPr="007A09F1" w:rsidRDefault="00366CF0" w:rsidP="00CB2EBF">
      <w:r w:rsidRPr="007A09F1">
        <w:t>The Regional Investment Corporation commenced operations on 1</w:t>
      </w:r>
      <w:r w:rsidR="00D9795C">
        <w:t> July </w:t>
      </w:r>
      <w:r w:rsidRPr="007A09F1">
        <w:t>2018.</w:t>
      </w:r>
    </w:p>
    <w:p w14:paraId="2FF42614" w14:textId="77777777" w:rsidR="00366CF0" w:rsidRPr="007A09F1" w:rsidRDefault="00366CF0" w:rsidP="00CB2EBF">
      <w:r w:rsidRPr="007A09F1">
        <w:t xml:space="preserve">There are </w:t>
      </w:r>
      <w:r>
        <w:t>three</w:t>
      </w:r>
      <w:r w:rsidRPr="007A09F1">
        <w:t xml:space="preserve"> loan products currently available to farm businesses:</w:t>
      </w:r>
      <w:r w:rsidRPr="007A09F1" w:rsidDel="005F73C4">
        <w:t xml:space="preserve"> </w:t>
      </w:r>
      <w:r w:rsidRPr="007A09F1">
        <w:t>Farm Investment Loans, Drought Loans</w:t>
      </w:r>
      <w:r>
        <w:t xml:space="preserve"> and</w:t>
      </w:r>
      <w:r w:rsidRPr="007A09F1">
        <w:t xml:space="preserve"> AgriStarter Loans. In addition, AgBiz Drought Loans are available for small businesses. AgRebuild Loans (North Queensland flood) closed on 30 June 2020.</w:t>
      </w:r>
    </w:p>
    <w:p w14:paraId="446596D8" w14:textId="60C6671E" w:rsidR="00366CF0" w:rsidRPr="007A09F1" w:rsidRDefault="00366CF0" w:rsidP="00CB2EBF">
      <w:r w:rsidRPr="007A09F1">
        <w:t>The Farm Investment, Drought, AgriStarter and AgBiz Drought loan products provide concessional loans to eligible businesses experiencing financial difficulties and are considered financially viable in the long</w:t>
      </w:r>
      <w:r>
        <w:t xml:space="preserve"> </w:t>
      </w:r>
      <w:r w:rsidRPr="007A09F1">
        <w:t>term (additional criteria apply for each product</w:t>
      </w:r>
      <w:r>
        <w:t>,</w:t>
      </w:r>
      <w:r w:rsidRPr="007A09F1">
        <w:t xml:space="preserve"> and terms and conditions may vary). All products are for farm businesses, except for AgBiz</w:t>
      </w:r>
      <w:r w:rsidR="00CB2EBF">
        <w:t> </w:t>
      </w:r>
      <w:r w:rsidRPr="007A09F1">
        <w:t>Drought Loans which are for small businesses that provide primary production related goods and services for drought affected farm businesses.</w:t>
      </w:r>
    </w:p>
    <w:p w14:paraId="0858C48C" w14:textId="18A3EC50" w:rsidR="00366CF0" w:rsidRPr="007A09F1" w:rsidRDefault="00366CF0" w:rsidP="00CB2EBF">
      <w:r w:rsidRPr="007A09F1">
        <w:t>As at 1</w:t>
      </w:r>
      <w:r w:rsidR="00D9795C">
        <w:t> February </w:t>
      </w:r>
      <w:r w:rsidRPr="007A09F1">
        <w:t>202</w:t>
      </w:r>
      <w:r>
        <w:t>4</w:t>
      </w:r>
      <w:r w:rsidRPr="007A09F1">
        <w:t>, the variable interest rate was 4.</w:t>
      </w:r>
      <w:r>
        <w:t>99</w:t>
      </w:r>
      <w:r w:rsidRPr="007A09F1">
        <w:t> per cent for the Farm Investment, Drought, AgriStarter and AgBiz Drought loan products. Interest rates are revised on a</w:t>
      </w:r>
      <w:r w:rsidR="00CB2EBF">
        <w:t> </w:t>
      </w:r>
      <w:r w:rsidRPr="007A09F1">
        <w:t>6</w:t>
      </w:r>
      <w:r w:rsidR="00D737F9">
        <w:noBreakHyphen/>
      </w:r>
      <w:r w:rsidRPr="007A09F1">
        <w:t xml:space="preserve">monthly basis in line with any material changes to the </w:t>
      </w:r>
      <w:r w:rsidR="001F3211">
        <w:t>Australian Government</w:t>
      </w:r>
      <w:r w:rsidRPr="007A09F1">
        <w:t xml:space="preserve"> 10</w:t>
      </w:r>
      <w:r w:rsidR="00D737F9">
        <w:noBreakHyphen/>
      </w:r>
      <w:r w:rsidRPr="007A09F1">
        <w:t xml:space="preserve">year bond rate where a material change is taken to be a movement of more than </w:t>
      </w:r>
      <w:r w:rsidR="006B0243">
        <w:t>ten</w:t>
      </w:r>
      <w:r w:rsidR="009113BE">
        <w:t> </w:t>
      </w:r>
      <w:r w:rsidRPr="007A09F1">
        <w:t>basis</w:t>
      </w:r>
      <w:r w:rsidR="009113BE">
        <w:t> </w:t>
      </w:r>
      <w:r w:rsidRPr="007A09F1">
        <w:t>points (0.1 per cent). The next update will be on 1 </w:t>
      </w:r>
      <w:r>
        <w:t>August</w:t>
      </w:r>
      <w:r w:rsidRPr="007A09F1">
        <w:t> 2024.</w:t>
      </w:r>
    </w:p>
    <w:p w14:paraId="5078EDCC" w14:textId="77777777" w:rsidR="00366CF0" w:rsidRPr="007A09F1" w:rsidRDefault="00366CF0" w:rsidP="00CB2EBF">
      <w:r w:rsidRPr="007A09F1">
        <w:t>Interest is not payable during the first two years of the AgRebuild Loan, or on the Drought Loans and AgBiz Drought Loans for loan applications that were received before 30 September 2020.</w:t>
      </w:r>
    </w:p>
    <w:p w14:paraId="23E95B7B" w14:textId="2D68B16C" w:rsidR="00CE29E1" w:rsidRPr="00CB2EBF" w:rsidRDefault="00366CF0" w:rsidP="00CB2EBF">
      <w:r w:rsidRPr="007A09F1">
        <w:t>Loans have a maximum term of ten years.</w:t>
      </w:r>
      <w:r w:rsidR="00CE29E1">
        <w:t xml:space="preserve"> </w:t>
      </w:r>
    </w:p>
    <w:p w14:paraId="381709AB" w14:textId="77777777" w:rsidR="00366CF0" w:rsidRPr="00B832E0" w:rsidRDefault="00366CF0" w:rsidP="001078E4">
      <w:pPr>
        <w:pStyle w:val="Heading3"/>
        <w:rPr>
          <w:rFonts w:eastAsia="Arial"/>
        </w:rPr>
      </w:pPr>
      <w:bookmarkStart w:id="219" w:name="_Toc166165541"/>
      <w:r w:rsidRPr="00B832E0">
        <w:rPr>
          <w:rFonts w:eastAsia="Arial"/>
        </w:rPr>
        <w:lastRenderedPageBreak/>
        <w:t>Climate Change, Energy, the Environment and Water</w:t>
      </w:r>
      <w:bookmarkEnd w:id="219"/>
    </w:p>
    <w:p w14:paraId="66DAC64D" w14:textId="77777777" w:rsidR="00366CF0" w:rsidRPr="005F06B9" w:rsidRDefault="00366CF0" w:rsidP="001078E4">
      <w:pPr>
        <w:pStyle w:val="Heading4"/>
        <w:rPr>
          <w:rFonts w:eastAsia="Arial"/>
        </w:rPr>
      </w:pPr>
      <w:r w:rsidRPr="005F06B9">
        <w:rPr>
          <w:rFonts w:eastAsia="Arial"/>
        </w:rPr>
        <w:t xml:space="preserve">Clean Energy Finance </w:t>
      </w:r>
      <w:r w:rsidRPr="00E1106B">
        <w:rPr>
          <w:rFonts w:eastAsia="Arial"/>
        </w:rPr>
        <w:t>Corporation</w:t>
      </w:r>
    </w:p>
    <w:p w14:paraId="71F6685D" w14:textId="77777777" w:rsidR="00366CF0" w:rsidRPr="00E50292" w:rsidRDefault="00366CF0" w:rsidP="00CB2EBF">
      <w:pPr>
        <w:rPr>
          <w:rFonts w:eastAsia="Arial"/>
        </w:rPr>
      </w:pPr>
      <w:r w:rsidRPr="1E8B5766">
        <w:rPr>
          <w:rFonts w:eastAsia="Arial"/>
        </w:rPr>
        <w:t xml:space="preserve">The Clean Energy Finance Corporation (CEFC) has developed a portfolio of loans and investments across the spectrum of clean energy technologies, as required by the </w:t>
      </w:r>
      <w:r w:rsidRPr="00B3472C">
        <w:rPr>
          <w:rFonts w:eastAsia="Arial"/>
          <w:i/>
        </w:rPr>
        <w:t xml:space="preserve">Clean Energy Finance Corporation Act 2012 </w:t>
      </w:r>
      <w:r w:rsidRPr="1E8B5766">
        <w:rPr>
          <w:rFonts w:eastAsia="Arial"/>
        </w:rPr>
        <w:t xml:space="preserve">and the </w:t>
      </w:r>
      <w:r w:rsidRPr="009715A5">
        <w:rPr>
          <w:rFonts w:eastAsia="Arial"/>
          <w:i/>
          <w:iCs/>
        </w:rPr>
        <w:t>Clean Energy Finance Corporation Investment Mandate Direction 202</w:t>
      </w:r>
      <w:bookmarkStart w:id="220" w:name="_Hlk148360763"/>
      <w:r w:rsidRPr="009715A5">
        <w:rPr>
          <w:rFonts w:eastAsia="Arial"/>
          <w:i/>
          <w:iCs/>
        </w:rPr>
        <w:t>3</w:t>
      </w:r>
      <w:bookmarkEnd w:id="220"/>
      <w:r w:rsidRPr="1E8B5766">
        <w:rPr>
          <w:rFonts w:eastAsia="Arial"/>
        </w:rPr>
        <w:t xml:space="preserve"> (the Investment Mandate), comprising the General Portfolio, Rewiring the Nation Fund and Specialised Investment Funds.</w:t>
      </w:r>
    </w:p>
    <w:p w14:paraId="150EA34F" w14:textId="3925088C" w:rsidR="00366CF0" w:rsidRPr="00E50292" w:rsidRDefault="00366CF0" w:rsidP="00CB2EBF">
      <w:pPr>
        <w:rPr>
          <w:rFonts w:eastAsia="Arial"/>
        </w:rPr>
      </w:pPr>
      <w:r w:rsidRPr="1E8B5766">
        <w:rPr>
          <w:rFonts w:eastAsia="Arial"/>
        </w:rPr>
        <w:t>The CEFC</w:t>
      </w:r>
      <w:r w:rsidR="00D737F9">
        <w:rPr>
          <w:rFonts w:eastAsia="Arial"/>
        </w:rPr>
        <w:t>’</w:t>
      </w:r>
      <w:r w:rsidRPr="1E8B5766">
        <w:rPr>
          <w:rFonts w:eastAsia="Arial"/>
        </w:rPr>
        <w:t>s loan portfolio consists of predominantly senior</w:t>
      </w:r>
      <w:r w:rsidR="00D737F9">
        <w:rPr>
          <w:rFonts w:eastAsia="Arial"/>
        </w:rPr>
        <w:noBreakHyphen/>
      </w:r>
      <w:r w:rsidRPr="1E8B5766">
        <w:rPr>
          <w:rFonts w:eastAsia="Arial"/>
        </w:rPr>
        <w:t xml:space="preserve">ranking secured loans, bonds and secured project finance facilities, typically secured against energy generating assets such as wind or solar farms or energy efficiency assets. </w:t>
      </w:r>
    </w:p>
    <w:p w14:paraId="6D9BDA59" w14:textId="25C2F4C8" w:rsidR="00366CF0" w:rsidRPr="00E50292" w:rsidRDefault="00366CF0" w:rsidP="00CB2EBF">
      <w:pPr>
        <w:rPr>
          <w:rFonts w:eastAsia="Arial"/>
        </w:rPr>
      </w:pPr>
      <w:r w:rsidRPr="1E8B5766">
        <w:rPr>
          <w:rFonts w:eastAsia="Arial"/>
        </w:rPr>
        <w:t>The CEFC</w:t>
      </w:r>
      <w:r w:rsidR="00D737F9">
        <w:rPr>
          <w:rFonts w:eastAsia="Arial"/>
        </w:rPr>
        <w:t>’</w:t>
      </w:r>
      <w:r w:rsidRPr="1E8B5766">
        <w:rPr>
          <w:rFonts w:eastAsia="Arial"/>
        </w:rPr>
        <w:t>s Rewiring the Nation Fund is expected to deliver concessional finance, including loans, for projects that support grid transformation. This portfolio of loans is expected to be predominately comprised of unsecured corporate facilities, as well as senior ranking secured loans and secured project finance facilities.</w:t>
      </w:r>
    </w:p>
    <w:p w14:paraId="0F148192" w14:textId="74D35A86" w:rsidR="00366CF0" w:rsidRPr="00E50292" w:rsidRDefault="00366CF0" w:rsidP="00CB2EBF">
      <w:pPr>
        <w:rPr>
          <w:rFonts w:eastAsia="Arial"/>
        </w:rPr>
      </w:pPr>
      <w:r w:rsidRPr="1E8B5766">
        <w:rPr>
          <w:rFonts w:eastAsia="Arial"/>
        </w:rPr>
        <w:t>The CEFC</w:t>
      </w:r>
      <w:r w:rsidR="00D737F9">
        <w:rPr>
          <w:rFonts w:eastAsia="Arial"/>
        </w:rPr>
        <w:t>’</w:t>
      </w:r>
      <w:r w:rsidRPr="1E8B5766">
        <w:rPr>
          <w:rFonts w:eastAsia="Arial"/>
        </w:rPr>
        <w:t>s Specialised Investment Funds portfolio of loans (consisting of the Clean Energy Innovation Fund, the Advancing Hydrogen Fund, the Powering Australia Technology Fund and the Household Energy Upgrades Fund) are expected to be predominantly unsecured corporate facilities, senior</w:t>
      </w:r>
      <w:r w:rsidR="00D737F9">
        <w:rPr>
          <w:rFonts w:eastAsia="Arial"/>
        </w:rPr>
        <w:noBreakHyphen/>
      </w:r>
      <w:r w:rsidRPr="1E8B5766">
        <w:rPr>
          <w:rFonts w:eastAsia="Arial"/>
        </w:rPr>
        <w:t>ranking secured loans, bonds and secured project finance facilities.</w:t>
      </w:r>
    </w:p>
    <w:p w14:paraId="20BB6D9F" w14:textId="77777777" w:rsidR="00366CF0" w:rsidRPr="00CB2EBF" w:rsidRDefault="00366CF0" w:rsidP="00CB2EBF">
      <w:pPr>
        <w:rPr>
          <w:rFonts w:eastAsia="Arial"/>
        </w:rPr>
      </w:pPr>
      <w:r w:rsidRPr="1E8B5766">
        <w:rPr>
          <w:rFonts w:eastAsia="Arial"/>
        </w:rPr>
        <w:t>The targeted level of risk for each of these portfolios is set out in the Investment Mandate. For all but the Rewiring the Nation Fund, the CEFC Board seeks to develop a portfolio of loans and investments that</w:t>
      </w:r>
      <w:r>
        <w:rPr>
          <w:rFonts w:eastAsia="Arial"/>
        </w:rPr>
        <w:t>,</w:t>
      </w:r>
      <w:r w:rsidRPr="1E8B5766">
        <w:rPr>
          <w:rFonts w:eastAsia="Arial"/>
        </w:rPr>
        <w:t xml:space="preserve"> in aggregate</w:t>
      </w:r>
      <w:r>
        <w:rPr>
          <w:rFonts w:eastAsia="Arial"/>
        </w:rPr>
        <w:t>,</w:t>
      </w:r>
      <w:r w:rsidRPr="1E8B5766">
        <w:rPr>
          <w:rFonts w:eastAsia="Arial"/>
        </w:rPr>
        <w:t xml:space="preserve"> has an acceptable but not excessive level of risk relative to the sector and the specific focus of each of the Funds. For the Rewiring the Nation Fund, the Board must seek to develop a portfolio that</w:t>
      </w:r>
      <w:r>
        <w:rPr>
          <w:rFonts w:eastAsia="Arial"/>
        </w:rPr>
        <w:t>,</w:t>
      </w:r>
      <w:r w:rsidRPr="1E8B5766">
        <w:rPr>
          <w:rFonts w:eastAsia="Arial"/>
        </w:rPr>
        <w:t xml:space="preserve"> in aggregate</w:t>
      </w:r>
      <w:r>
        <w:rPr>
          <w:rFonts w:eastAsia="Arial"/>
        </w:rPr>
        <w:t>,</w:t>
      </w:r>
      <w:r w:rsidRPr="1E8B5766">
        <w:rPr>
          <w:rFonts w:eastAsia="Arial"/>
        </w:rPr>
        <w:t xml:space="preserve"> has an acceptable level of risk relative to the sector and the focus of the Rewiring the Nation Fund. </w:t>
      </w:r>
    </w:p>
    <w:p w14:paraId="51692D59" w14:textId="31D14F6A" w:rsidR="00366CF0" w:rsidRPr="00E50292" w:rsidRDefault="00366CF0" w:rsidP="00CB2EBF">
      <w:pPr>
        <w:rPr>
          <w:rFonts w:eastAsia="Arial"/>
        </w:rPr>
      </w:pPr>
      <w:r w:rsidRPr="1E8B5766">
        <w:rPr>
          <w:rFonts w:eastAsia="Arial"/>
        </w:rPr>
        <w:t>The Rewiring the Nation Fund investments may increase the CEFC</w:t>
      </w:r>
      <w:r w:rsidR="00D737F9">
        <w:rPr>
          <w:rFonts w:eastAsia="Arial"/>
        </w:rPr>
        <w:t>’</w:t>
      </w:r>
      <w:r w:rsidRPr="1E8B5766">
        <w:rPr>
          <w:rFonts w:eastAsia="Arial"/>
        </w:rPr>
        <w:t>s overall exposure to risk as the scale, concentration, loan tenor and nature of these investments will have a higher risk profile. The Specialised Investment Funds may also have a higher risk profile than the General Portfolio, however they are a relatively smaller component of the CEFC</w:t>
      </w:r>
      <w:r w:rsidR="00D737F9">
        <w:rPr>
          <w:rFonts w:eastAsia="Arial"/>
        </w:rPr>
        <w:t>’</w:t>
      </w:r>
      <w:r w:rsidRPr="1E8B5766">
        <w:rPr>
          <w:rFonts w:eastAsia="Arial"/>
        </w:rPr>
        <w:t xml:space="preserve">s overall exposure. </w:t>
      </w:r>
    </w:p>
    <w:p w14:paraId="7ED148A2" w14:textId="6E925424" w:rsidR="00366CF0" w:rsidRPr="00CB2EBF" w:rsidRDefault="00366CF0" w:rsidP="00CB2EBF">
      <w:pPr>
        <w:rPr>
          <w:rFonts w:eastAsia="Arial"/>
        </w:rPr>
      </w:pPr>
      <w:r w:rsidRPr="1E8B5766">
        <w:rPr>
          <w:rFonts w:eastAsia="Arial"/>
        </w:rPr>
        <w:t>The CEFC has predominantly made loans as a co</w:t>
      </w:r>
      <w:r w:rsidR="00D737F9">
        <w:rPr>
          <w:rFonts w:eastAsia="Arial"/>
        </w:rPr>
        <w:noBreakHyphen/>
      </w:r>
      <w:r w:rsidRPr="1E8B5766">
        <w:rPr>
          <w:rFonts w:eastAsia="Arial"/>
        </w:rPr>
        <w:t>financier either jointly or in consortiums with private sector financial institutions. Interest rates vary with a current average expected return of approximately 4.</w:t>
      </w:r>
      <w:bookmarkStart w:id="221" w:name="_Hlk148360986"/>
      <w:r w:rsidRPr="1E8B5766">
        <w:rPr>
          <w:rFonts w:eastAsia="Arial"/>
        </w:rPr>
        <w:t>5</w:t>
      </w:r>
      <w:bookmarkEnd w:id="221"/>
      <w:r w:rsidRPr="1E8B5766">
        <w:rPr>
          <w:rFonts w:eastAsia="Arial"/>
        </w:rPr>
        <w:t xml:space="preserve"> per cent. Loans have various maturity dates, typically in the range of </w:t>
      </w:r>
      <w:r w:rsidR="00632072">
        <w:rPr>
          <w:rFonts w:eastAsia="Arial"/>
        </w:rPr>
        <w:t>5</w:t>
      </w:r>
      <w:r w:rsidR="00632072" w:rsidRPr="1E8B5766">
        <w:rPr>
          <w:rFonts w:eastAsia="Arial"/>
        </w:rPr>
        <w:t xml:space="preserve"> </w:t>
      </w:r>
      <w:r w:rsidRPr="1E8B5766">
        <w:rPr>
          <w:rFonts w:eastAsia="Arial"/>
        </w:rPr>
        <w:t>to 15 years</w:t>
      </w:r>
      <w:bookmarkStart w:id="222" w:name="_Hlk148360834"/>
      <w:r w:rsidRPr="1E8B5766">
        <w:rPr>
          <w:rFonts w:eastAsia="Arial"/>
        </w:rPr>
        <w:t>, although it is anticipated that loan tenors will extend with the introduction of the Rewiring the Nation Fund.</w:t>
      </w:r>
      <w:bookmarkEnd w:id="222"/>
      <w:r w:rsidRPr="1E8B5766">
        <w:rPr>
          <w:rFonts w:eastAsia="Arial"/>
        </w:rPr>
        <w:t xml:space="preserve"> As at 30</w:t>
      </w:r>
      <w:r w:rsidR="0023629A">
        <w:rPr>
          <w:rFonts w:eastAsia="Arial"/>
        </w:rPr>
        <w:t> June </w:t>
      </w:r>
      <w:r w:rsidRPr="1E8B5766">
        <w:rPr>
          <w:rFonts w:eastAsia="Arial"/>
        </w:rPr>
        <w:t>202</w:t>
      </w:r>
      <w:r>
        <w:rPr>
          <w:rFonts w:eastAsia="Arial"/>
        </w:rPr>
        <w:t>4</w:t>
      </w:r>
      <w:r w:rsidRPr="1E8B5766">
        <w:rPr>
          <w:rFonts w:eastAsia="Arial"/>
        </w:rPr>
        <w:t xml:space="preserve">, loans contracted and outstanding </w:t>
      </w:r>
      <w:r>
        <w:rPr>
          <w:rFonts w:eastAsia="Arial"/>
        </w:rPr>
        <w:t>are estimated to</w:t>
      </w:r>
      <w:r w:rsidRPr="1E8B5766">
        <w:rPr>
          <w:rFonts w:eastAsia="Arial"/>
        </w:rPr>
        <w:t xml:space="preserve"> total </w:t>
      </w:r>
      <w:r w:rsidRPr="0029353C">
        <w:rPr>
          <w:rFonts w:eastAsia="Arial"/>
        </w:rPr>
        <w:t>$2.</w:t>
      </w:r>
      <w:bookmarkStart w:id="223" w:name="_Hlk148361012"/>
      <w:r w:rsidRPr="0029353C">
        <w:rPr>
          <w:rFonts w:eastAsia="Arial"/>
        </w:rPr>
        <w:t>8</w:t>
      </w:r>
      <w:bookmarkEnd w:id="223"/>
      <w:r w:rsidR="0023629A">
        <w:rPr>
          <w:rFonts w:eastAsia="Arial"/>
        </w:rPr>
        <w:t> billion</w:t>
      </w:r>
      <w:r w:rsidRPr="1E8B5766">
        <w:rPr>
          <w:rFonts w:eastAsia="Arial"/>
        </w:rPr>
        <w:t xml:space="preserve"> and are almost exclusively in the General Portfolio.</w:t>
      </w:r>
    </w:p>
    <w:p w14:paraId="7832463E" w14:textId="77777777" w:rsidR="009D70F5" w:rsidRPr="00B832E0" w:rsidRDefault="009D70F5" w:rsidP="001078E4">
      <w:pPr>
        <w:pStyle w:val="Heading3"/>
        <w:rPr>
          <w:rFonts w:eastAsia="Arial"/>
        </w:rPr>
      </w:pPr>
      <w:bookmarkStart w:id="224" w:name="_Toc166165542"/>
      <w:r w:rsidRPr="00B832E0">
        <w:rPr>
          <w:rFonts w:eastAsia="Arial"/>
        </w:rPr>
        <w:lastRenderedPageBreak/>
        <w:t>Education</w:t>
      </w:r>
      <w:bookmarkEnd w:id="218"/>
      <w:bookmarkEnd w:id="224"/>
    </w:p>
    <w:p w14:paraId="2F112734" w14:textId="77777777" w:rsidR="009536AE" w:rsidRPr="005F06B9" w:rsidRDefault="009536AE" w:rsidP="001078E4">
      <w:pPr>
        <w:pStyle w:val="Heading4"/>
        <w:rPr>
          <w:rFonts w:eastAsia="Arial"/>
        </w:rPr>
      </w:pPr>
      <w:bookmarkStart w:id="225" w:name="_Hlk148617019"/>
      <w:bookmarkStart w:id="226" w:name="_Toc99141905"/>
      <w:r w:rsidRPr="005F06B9">
        <w:rPr>
          <w:rFonts w:eastAsia="Arial"/>
        </w:rPr>
        <w:t xml:space="preserve">Higher Education </w:t>
      </w:r>
      <w:r w:rsidRPr="00E1106B">
        <w:rPr>
          <w:rFonts w:eastAsia="Arial"/>
        </w:rPr>
        <w:t>Loan</w:t>
      </w:r>
      <w:r w:rsidRPr="005F06B9">
        <w:rPr>
          <w:rFonts w:eastAsia="Arial"/>
        </w:rPr>
        <w:t xml:space="preserve"> Program</w:t>
      </w:r>
    </w:p>
    <w:p w14:paraId="4019BE59" w14:textId="18BD08EA" w:rsidR="009536AE" w:rsidRDefault="009536AE" w:rsidP="00CB2EBF">
      <w:pPr>
        <w:rPr>
          <w:rFonts w:eastAsiaTheme="minorEastAsia"/>
          <w:lang w:val="en-US"/>
        </w:rPr>
      </w:pPr>
      <w:r w:rsidRPr="22ECB6AC">
        <w:rPr>
          <w:rFonts w:eastAsiaTheme="minorEastAsia"/>
          <w:lang w:val="en-US"/>
        </w:rPr>
        <w:t>The Higher Education Loan Program (HELP) is an income</w:t>
      </w:r>
      <w:r w:rsidR="00D737F9">
        <w:rPr>
          <w:rFonts w:eastAsiaTheme="minorEastAsia"/>
          <w:lang w:val="en-US"/>
        </w:rPr>
        <w:noBreakHyphen/>
      </w:r>
      <w:r w:rsidRPr="22ECB6AC">
        <w:rPr>
          <w:rFonts w:eastAsiaTheme="minorEastAsia"/>
          <w:lang w:val="en-US"/>
        </w:rPr>
        <w:t xml:space="preserve">contingent loan program that assists eligible higher education students with the cost of their student contribution amounts and tuition fees. </w:t>
      </w:r>
      <w:r w:rsidR="00B014CA" w:rsidRPr="22ECB6AC">
        <w:rPr>
          <w:rFonts w:eastAsiaTheme="minorEastAsia"/>
          <w:lang w:val="en-US"/>
        </w:rPr>
        <w:t>As at 30</w:t>
      </w:r>
      <w:r w:rsidR="0023629A">
        <w:rPr>
          <w:rFonts w:eastAsiaTheme="minorEastAsia"/>
          <w:lang w:val="en-US"/>
        </w:rPr>
        <w:t> June </w:t>
      </w:r>
      <w:r w:rsidR="00B014CA" w:rsidRPr="22ECB6AC">
        <w:rPr>
          <w:rFonts w:eastAsiaTheme="minorEastAsia"/>
          <w:lang w:val="en-US"/>
        </w:rPr>
        <w:t>202</w:t>
      </w:r>
      <w:r w:rsidR="00B014CA">
        <w:rPr>
          <w:rFonts w:eastAsiaTheme="minorEastAsia"/>
          <w:lang w:val="en-US"/>
        </w:rPr>
        <w:t>4</w:t>
      </w:r>
      <w:r w:rsidR="00B014CA" w:rsidRPr="22ECB6AC">
        <w:rPr>
          <w:rFonts w:eastAsiaTheme="minorEastAsia"/>
          <w:lang w:val="en-US"/>
        </w:rPr>
        <w:t>, the fair value of HELP debt outstanding is estimated to be $4</w:t>
      </w:r>
      <w:r w:rsidR="00B014CA">
        <w:rPr>
          <w:rFonts w:eastAsiaTheme="minorEastAsia"/>
          <w:lang w:val="en-US"/>
        </w:rPr>
        <w:t>3</w:t>
      </w:r>
      <w:r w:rsidR="00B014CA" w:rsidRPr="22ECB6AC">
        <w:rPr>
          <w:rFonts w:eastAsiaTheme="minorEastAsia"/>
          <w:lang w:val="en-US"/>
        </w:rPr>
        <w:t>.</w:t>
      </w:r>
      <w:r w:rsidR="00B014CA">
        <w:rPr>
          <w:rFonts w:eastAsiaTheme="minorEastAsia"/>
          <w:lang w:val="en-US"/>
        </w:rPr>
        <w:t>2</w:t>
      </w:r>
      <w:r w:rsidR="0023629A">
        <w:rPr>
          <w:rFonts w:eastAsiaTheme="minorEastAsia"/>
          <w:lang w:val="en-US"/>
        </w:rPr>
        <w:t> billion</w:t>
      </w:r>
      <w:r w:rsidR="00B014CA" w:rsidRPr="22ECB6AC">
        <w:rPr>
          <w:rFonts w:eastAsiaTheme="minorEastAsia"/>
          <w:lang w:val="en-US"/>
        </w:rPr>
        <w:t xml:space="preserve">. </w:t>
      </w:r>
      <w:r w:rsidRPr="22ECB6AC">
        <w:rPr>
          <w:rFonts w:eastAsiaTheme="minorEastAsia"/>
          <w:lang w:val="en-US"/>
        </w:rPr>
        <w:t>The fair value takes into account the concessionality of HELP loans and makes an allowance for debt not expected to be repaid.</w:t>
      </w:r>
    </w:p>
    <w:p w14:paraId="758F1459" w14:textId="1295B7C8" w:rsidR="00442751" w:rsidRDefault="00442751" w:rsidP="00CB2EBF">
      <w:pPr>
        <w:rPr>
          <w:rFonts w:eastAsiaTheme="minorEastAsia"/>
          <w:lang w:val="en-US"/>
        </w:rPr>
      </w:pPr>
      <w:r w:rsidRPr="22ECB6AC">
        <w:rPr>
          <w:rFonts w:eastAsiaTheme="minorEastAsia"/>
          <w:lang w:val="en-US"/>
        </w:rPr>
        <w:t>Debts outstanding for more than 11 months are indexed annually</w:t>
      </w:r>
      <w:r w:rsidR="00187618">
        <w:rPr>
          <w:rFonts w:eastAsiaTheme="minorEastAsia"/>
          <w:lang w:val="en-US"/>
        </w:rPr>
        <w:t>.</w:t>
      </w:r>
      <w:r w:rsidR="00187618" w:rsidRPr="00187618">
        <w:rPr>
          <w:rFonts w:eastAsiaTheme="minorEastAsia"/>
          <w:lang w:val="en-US"/>
        </w:rPr>
        <w:t xml:space="preserve"> </w:t>
      </w:r>
      <w:r w:rsidR="00187618">
        <w:rPr>
          <w:rFonts w:eastAsiaTheme="minorEastAsia"/>
          <w:lang w:val="en-US"/>
        </w:rPr>
        <w:t>F</w:t>
      </w:r>
      <w:r w:rsidR="00187618">
        <w:rPr>
          <w:rStyle w:val="ui-provider"/>
        </w:rPr>
        <w:t>rom 1 June 2023, subject to the passage of legislation, indexation will be based on</w:t>
      </w:r>
      <w:r w:rsidRPr="22ECB6AC">
        <w:rPr>
          <w:rFonts w:eastAsiaTheme="minorEastAsia"/>
          <w:lang w:val="en-US"/>
        </w:rPr>
        <w:t xml:space="preserve"> the </w:t>
      </w:r>
      <w:r>
        <w:rPr>
          <w:rFonts w:eastAsiaTheme="minorEastAsia"/>
          <w:lang w:val="en-US"/>
        </w:rPr>
        <w:t>lower of the Wage</w:t>
      </w:r>
      <w:r w:rsidR="00CB2EBF">
        <w:rPr>
          <w:rFonts w:eastAsiaTheme="minorEastAsia"/>
          <w:lang w:val="en-US"/>
        </w:rPr>
        <w:t> </w:t>
      </w:r>
      <w:r>
        <w:rPr>
          <w:rFonts w:eastAsiaTheme="minorEastAsia"/>
          <w:lang w:val="en-US"/>
        </w:rPr>
        <w:t xml:space="preserve">Price Index or the </w:t>
      </w:r>
      <w:r w:rsidRPr="22ECB6AC">
        <w:rPr>
          <w:rFonts w:eastAsiaTheme="minorEastAsia"/>
          <w:lang w:val="en-US"/>
        </w:rPr>
        <w:t>Consumer Price Index. The Australian Taxation Office collects repayment of these debts through the tax system. Repayment of debts commence when an</w:t>
      </w:r>
      <w:r w:rsidR="00CB2EBF">
        <w:rPr>
          <w:rFonts w:eastAsiaTheme="minorEastAsia"/>
          <w:lang w:val="en-US"/>
        </w:rPr>
        <w:t> </w:t>
      </w:r>
      <w:r w:rsidRPr="22ECB6AC">
        <w:rPr>
          <w:rFonts w:eastAsiaTheme="minorEastAsia"/>
          <w:lang w:val="en-US"/>
        </w:rPr>
        <w:t>individual debtor</w:t>
      </w:r>
      <w:r w:rsidR="00D737F9">
        <w:rPr>
          <w:rFonts w:eastAsiaTheme="minorEastAsia"/>
          <w:lang w:val="en-US"/>
        </w:rPr>
        <w:t>’</w:t>
      </w:r>
      <w:r w:rsidRPr="22ECB6AC">
        <w:rPr>
          <w:rFonts w:eastAsiaTheme="minorEastAsia"/>
          <w:lang w:val="en-US"/>
        </w:rPr>
        <w:t>s income reaches the repayment threshold.</w:t>
      </w:r>
    </w:p>
    <w:p w14:paraId="36A8289C" w14:textId="1C646BAC" w:rsidR="009536AE" w:rsidRDefault="009536AE" w:rsidP="00CB2EBF">
      <w:pPr>
        <w:rPr>
          <w:rFonts w:eastAsiaTheme="minorEastAsia"/>
          <w:lang w:val="en-US"/>
        </w:rPr>
      </w:pPr>
      <w:r w:rsidRPr="22ECB6AC">
        <w:rPr>
          <w:rFonts w:eastAsiaTheme="minorEastAsia"/>
          <w:lang w:val="en-US"/>
        </w:rPr>
        <w:t>There were 2,952,715 HELP debtors as at 30</w:t>
      </w:r>
      <w:r w:rsidR="0023629A">
        <w:rPr>
          <w:rFonts w:eastAsiaTheme="minorEastAsia"/>
          <w:lang w:val="en-US"/>
        </w:rPr>
        <w:t> June </w:t>
      </w:r>
      <w:r w:rsidRPr="22ECB6AC">
        <w:rPr>
          <w:rFonts w:eastAsiaTheme="minorEastAsia"/>
          <w:lang w:val="en-US"/>
        </w:rPr>
        <w:t>2023. The repayment term of a HELP debt</w:t>
      </w:r>
      <w:r w:rsidR="00CB2EBF">
        <w:rPr>
          <w:rFonts w:eastAsiaTheme="minorEastAsia"/>
          <w:lang w:val="en-US"/>
        </w:rPr>
        <w:t> </w:t>
      </w:r>
      <w:r w:rsidRPr="22ECB6AC">
        <w:rPr>
          <w:rFonts w:eastAsiaTheme="minorEastAsia"/>
          <w:lang w:val="en-US"/>
        </w:rPr>
        <w:t>can only be determined for people who have fully repaid their debt. As at the end of</w:t>
      </w:r>
      <w:r w:rsidR="00CB2EBF">
        <w:rPr>
          <w:rFonts w:eastAsiaTheme="minorEastAsia"/>
          <w:lang w:val="en-US"/>
        </w:rPr>
        <w:t xml:space="preserve"> </w:t>
      </w:r>
      <w:r w:rsidR="0023629A">
        <w:rPr>
          <w:rFonts w:eastAsiaTheme="minorEastAsia"/>
          <w:lang w:val="en-US"/>
        </w:rPr>
        <w:t>June </w:t>
      </w:r>
      <w:r w:rsidRPr="22ECB6AC">
        <w:rPr>
          <w:rFonts w:eastAsiaTheme="minorEastAsia"/>
          <w:lang w:val="en-US"/>
        </w:rPr>
        <w:t>2023, the average time taken to repay HELP debts was 9.6 years.</w:t>
      </w:r>
    </w:p>
    <w:p w14:paraId="23FE9B4D" w14:textId="77777777" w:rsidR="009D70F5" w:rsidRPr="00B832E0" w:rsidRDefault="009D70F5" w:rsidP="001078E4">
      <w:pPr>
        <w:pStyle w:val="Heading3"/>
        <w:rPr>
          <w:rFonts w:eastAsia="Arial"/>
        </w:rPr>
      </w:pPr>
      <w:bookmarkStart w:id="227" w:name="_Toc166165543"/>
      <w:bookmarkEnd w:id="225"/>
      <w:r w:rsidRPr="00B832E0">
        <w:rPr>
          <w:rFonts w:eastAsia="Arial"/>
        </w:rPr>
        <w:t>Employment and Workplace Relations</w:t>
      </w:r>
      <w:bookmarkEnd w:id="227"/>
    </w:p>
    <w:p w14:paraId="5082A0BE" w14:textId="70404491" w:rsidR="00757D7F" w:rsidRPr="005F06B9" w:rsidRDefault="00757D7F" w:rsidP="001078E4">
      <w:pPr>
        <w:pStyle w:val="Heading4"/>
        <w:rPr>
          <w:rFonts w:eastAsia="Arial"/>
        </w:rPr>
      </w:pPr>
      <w:r w:rsidRPr="005F06B9">
        <w:rPr>
          <w:rFonts w:eastAsia="Arial"/>
        </w:rPr>
        <w:t>Australian Apprenticeship Support Loans Program</w:t>
      </w:r>
    </w:p>
    <w:p w14:paraId="5613D003" w14:textId="0558090F" w:rsidR="00C178A3" w:rsidRPr="007A78D8" w:rsidRDefault="00C178A3" w:rsidP="006A5668">
      <w:pPr>
        <w:rPr>
          <w:rFonts w:eastAsia="Arial"/>
          <w:lang w:val="en-US"/>
        </w:rPr>
      </w:pPr>
      <w:r w:rsidRPr="69E2749F">
        <w:rPr>
          <w:rFonts w:eastAsia="Arial"/>
          <w:lang w:val="en-US"/>
        </w:rPr>
        <w:t>The</w:t>
      </w:r>
      <w:r>
        <w:rPr>
          <w:rFonts w:eastAsia="Arial"/>
          <w:lang w:val="en-US"/>
        </w:rPr>
        <w:t xml:space="preserve"> Australian Apprenticeship Support Loans Program (formerly</w:t>
      </w:r>
      <w:r w:rsidRPr="69E2749F">
        <w:rPr>
          <w:rFonts w:eastAsia="Arial"/>
          <w:lang w:val="en-US"/>
        </w:rPr>
        <w:t xml:space="preserve"> Trade Support Loans Program</w:t>
      </w:r>
      <w:r w:rsidR="00DE52CE">
        <w:rPr>
          <w:rFonts w:eastAsia="Arial"/>
          <w:lang w:val="en-US"/>
        </w:rPr>
        <w:t>)</w:t>
      </w:r>
      <w:r w:rsidRPr="69E2749F">
        <w:rPr>
          <w:rFonts w:eastAsia="Arial"/>
          <w:lang w:val="en-US"/>
        </w:rPr>
        <w:t xml:space="preserve"> is an income</w:t>
      </w:r>
      <w:r w:rsidR="00D737F9">
        <w:rPr>
          <w:rFonts w:eastAsia="Arial"/>
          <w:lang w:val="en-US"/>
        </w:rPr>
        <w:noBreakHyphen/>
      </w:r>
      <w:r w:rsidRPr="69E2749F">
        <w:rPr>
          <w:rFonts w:eastAsia="Arial"/>
          <w:lang w:val="en-US"/>
        </w:rPr>
        <w:t xml:space="preserve">contingent, concessional loan program that assists eligible Australian </w:t>
      </w:r>
      <w:r w:rsidR="007F5D36">
        <w:rPr>
          <w:rFonts w:eastAsia="Arial"/>
          <w:lang w:val="en-US"/>
        </w:rPr>
        <w:t>a</w:t>
      </w:r>
      <w:r w:rsidRPr="69E2749F">
        <w:rPr>
          <w:rFonts w:eastAsia="Arial"/>
          <w:lang w:val="en-US"/>
        </w:rPr>
        <w:t xml:space="preserve">pprentices by providing financial support </w:t>
      </w:r>
      <w:r w:rsidRPr="007A78D8">
        <w:rPr>
          <w:rFonts w:eastAsia="Arial"/>
          <w:lang w:val="en-US"/>
        </w:rPr>
        <w:t>of up to $24,492 (for 2023–24) to assist with the costs of living, learning and undertaking an apprenticeship, and helping apprentices to focus on completing a qualification listed on the Australian Apprenticeships Priority List.</w:t>
      </w:r>
    </w:p>
    <w:p w14:paraId="511FD510" w14:textId="5B074471" w:rsidR="00C178A3" w:rsidRPr="007A78D8" w:rsidRDefault="00DE52CE" w:rsidP="006A5668">
      <w:pPr>
        <w:rPr>
          <w:rFonts w:eastAsia="Arial"/>
          <w:lang w:val="en-US"/>
        </w:rPr>
      </w:pPr>
      <w:r>
        <w:rPr>
          <w:rFonts w:eastAsia="Arial"/>
          <w:lang w:val="en-US"/>
        </w:rPr>
        <w:t>An e</w:t>
      </w:r>
      <w:r w:rsidR="00C178A3" w:rsidRPr="007A78D8">
        <w:rPr>
          <w:rFonts w:eastAsia="Arial"/>
          <w:lang w:val="en-US"/>
        </w:rPr>
        <w:t>ligible Australian Apprentice can access up to $816.41 per month in the first year of their apprenticeship, $612.31 per month in the second year, $408.20 per month in the third year, and $204.10 per month in the fourth year.</w:t>
      </w:r>
    </w:p>
    <w:p w14:paraId="4D3D95B6" w14:textId="0C9DF709" w:rsidR="00C178A3" w:rsidRPr="007A78D8" w:rsidRDefault="00C178A3" w:rsidP="006A5668">
      <w:pPr>
        <w:rPr>
          <w:rFonts w:eastAsia="Arial"/>
          <w:lang w:val="en-US"/>
        </w:rPr>
      </w:pPr>
      <w:r w:rsidRPr="007A78D8">
        <w:rPr>
          <w:rFonts w:eastAsia="Arial"/>
          <w:lang w:val="en-US"/>
        </w:rPr>
        <w:t>The loan amounts provided are higher in the early years of training to compensate for lower wages. The lifetime limit of $24,492 was indexed on 1</w:t>
      </w:r>
      <w:r w:rsidR="00D9795C">
        <w:rPr>
          <w:rFonts w:eastAsia="Arial"/>
          <w:lang w:val="en-US"/>
        </w:rPr>
        <w:t> July </w:t>
      </w:r>
      <w:r w:rsidRPr="007A78D8">
        <w:rPr>
          <w:rFonts w:eastAsia="Arial"/>
          <w:lang w:val="en-US"/>
        </w:rPr>
        <w:t>2023 using the Consumer Price Index and will continue to be indexed annually on 1</w:t>
      </w:r>
      <w:r w:rsidR="00D9795C">
        <w:rPr>
          <w:rFonts w:eastAsia="Arial"/>
          <w:lang w:val="en-US"/>
        </w:rPr>
        <w:t> July </w:t>
      </w:r>
      <w:r w:rsidRPr="007A78D8">
        <w:rPr>
          <w:rFonts w:eastAsia="Arial"/>
          <w:lang w:val="en-US"/>
        </w:rPr>
        <w:t>to maintain its real value.</w:t>
      </w:r>
    </w:p>
    <w:p w14:paraId="4EA54B39" w14:textId="7B2977D2" w:rsidR="00C178A3" w:rsidRDefault="00C178A3" w:rsidP="006A5668">
      <w:pPr>
        <w:rPr>
          <w:rFonts w:eastAsia="Arial"/>
          <w:lang w:val="en-US"/>
        </w:rPr>
      </w:pPr>
      <w:r w:rsidRPr="007A78D8">
        <w:rPr>
          <w:rFonts w:eastAsia="Arial"/>
          <w:lang w:val="en-US"/>
        </w:rPr>
        <w:t>As an incentive to encourage completion of training, apprentices who successfully complete their apprenticeships are eligible for a 20</w:t>
      </w:r>
      <w:r w:rsidR="00BD3D7E">
        <w:rPr>
          <w:rFonts w:eastAsia="Arial"/>
          <w:lang w:val="en-US"/>
        </w:rPr>
        <w:t> per cent</w:t>
      </w:r>
      <w:r w:rsidRPr="007A78D8">
        <w:rPr>
          <w:rFonts w:eastAsia="Arial"/>
          <w:lang w:val="en-US"/>
        </w:rPr>
        <w:t xml:space="preserve"> discount on their loan. The</w:t>
      </w:r>
      <w:r w:rsidRPr="4C52EE36">
        <w:rPr>
          <w:rFonts w:eastAsia="Arial"/>
          <w:lang w:val="en-US"/>
        </w:rPr>
        <w:t xml:space="preserve"> loans become repayable at the same thresholds as the Higher Education Loan Program, which is $51,550 for the 2023–24 income year. This is a demand driven program. As at 30</w:t>
      </w:r>
      <w:r w:rsidR="0023629A">
        <w:rPr>
          <w:rFonts w:eastAsia="Arial"/>
          <w:lang w:val="en-US"/>
        </w:rPr>
        <w:t> June </w:t>
      </w:r>
      <w:r w:rsidRPr="4C52EE36">
        <w:rPr>
          <w:rFonts w:eastAsia="Arial"/>
          <w:lang w:val="en-US"/>
        </w:rPr>
        <w:t>202</w:t>
      </w:r>
      <w:r>
        <w:rPr>
          <w:rFonts w:eastAsia="Arial"/>
          <w:lang w:val="en-US"/>
        </w:rPr>
        <w:t>4</w:t>
      </w:r>
      <w:r w:rsidRPr="4C52EE36">
        <w:rPr>
          <w:rFonts w:eastAsia="Arial"/>
          <w:lang w:val="en-US"/>
        </w:rPr>
        <w:t xml:space="preserve">, the fair value of the </w:t>
      </w:r>
      <w:r>
        <w:rPr>
          <w:rFonts w:eastAsia="Arial"/>
          <w:lang w:val="en-US"/>
        </w:rPr>
        <w:t xml:space="preserve">Australian Apprenticeship Support Loans </w:t>
      </w:r>
      <w:r w:rsidRPr="4C52EE36">
        <w:rPr>
          <w:rFonts w:eastAsia="Arial"/>
          <w:lang w:val="en-US"/>
        </w:rPr>
        <w:t xml:space="preserve">debt outstanding is estimated to </w:t>
      </w:r>
      <w:r w:rsidRPr="00C178A3">
        <w:rPr>
          <w:rFonts w:eastAsia="Arial"/>
          <w:lang w:val="en-US"/>
        </w:rPr>
        <w:t>be $987.2 million.</w:t>
      </w:r>
      <w:r w:rsidRPr="4C52EE36">
        <w:rPr>
          <w:rFonts w:eastAsia="Arial"/>
          <w:lang w:val="en-US"/>
        </w:rPr>
        <w:t xml:space="preserve"> The fair value takes into account the concessionality of </w:t>
      </w:r>
      <w:r>
        <w:rPr>
          <w:rFonts w:eastAsia="Arial"/>
          <w:lang w:val="en-US"/>
        </w:rPr>
        <w:t>Australian Apprenticeship Support L</w:t>
      </w:r>
      <w:r w:rsidRPr="4C52EE36">
        <w:rPr>
          <w:rFonts w:eastAsia="Arial"/>
          <w:lang w:val="en-US"/>
        </w:rPr>
        <w:t>oans and makes an allowance for debt not expected to be repaid.</w:t>
      </w:r>
    </w:p>
    <w:p w14:paraId="11B8BF3D" w14:textId="6C93588C" w:rsidR="002135C6" w:rsidRPr="005F06B9" w:rsidRDefault="002135C6" w:rsidP="001078E4">
      <w:pPr>
        <w:pStyle w:val="Heading4"/>
        <w:rPr>
          <w:rFonts w:eastAsia="Arial"/>
        </w:rPr>
      </w:pPr>
      <w:r w:rsidRPr="005F06B9">
        <w:rPr>
          <w:rFonts w:eastAsia="Arial"/>
        </w:rPr>
        <w:lastRenderedPageBreak/>
        <w:t>VET Student Loans Program</w:t>
      </w:r>
    </w:p>
    <w:p w14:paraId="415A304E" w14:textId="10C12017" w:rsidR="0075488E" w:rsidRPr="00FA69A9" w:rsidRDefault="0075488E" w:rsidP="00CB2EBF">
      <w:pPr>
        <w:rPr>
          <w:rFonts w:eastAsia="Arial"/>
          <w:lang w:val="en-US"/>
        </w:rPr>
      </w:pPr>
      <w:r w:rsidRPr="69E2749F">
        <w:rPr>
          <w:rFonts w:eastAsia="Arial"/>
          <w:lang w:val="en-US"/>
        </w:rPr>
        <w:t>The VET Student Loans (VSL) Program is an income contingent loan program that assists eligible tertiary education students with the cost of their fees when undertaking approved higher</w:t>
      </w:r>
      <w:r w:rsidR="00D737F9">
        <w:rPr>
          <w:rFonts w:eastAsia="Arial"/>
          <w:lang w:val="en-US"/>
        </w:rPr>
        <w:noBreakHyphen/>
      </w:r>
      <w:r w:rsidRPr="69E2749F">
        <w:rPr>
          <w:rFonts w:eastAsia="Arial"/>
          <w:lang w:val="en-US"/>
        </w:rPr>
        <w:t xml:space="preserve">level Vocational Education and Training (VET) courses (diploma and above). </w:t>
      </w:r>
    </w:p>
    <w:p w14:paraId="3BFBF8C0" w14:textId="7AECB08D" w:rsidR="0075488E" w:rsidRPr="00FA69A9" w:rsidRDefault="0075488E" w:rsidP="00CB2EBF">
      <w:pPr>
        <w:rPr>
          <w:rFonts w:eastAsia="Arial"/>
          <w:lang w:val="en-US"/>
        </w:rPr>
      </w:pPr>
      <w:r w:rsidRPr="00BF21FD">
        <w:rPr>
          <w:rFonts w:eastAsia="Arial"/>
          <w:lang w:val="en-US"/>
        </w:rPr>
        <w:t>Debts outstanding for more than 11 months are indexed annually</w:t>
      </w:r>
      <w:r w:rsidR="0023169F">
        <w:rPr>
          <w:rFonts w:eastAsia="Arial"/>
          <w:lang w:val="en-US"/>
        </w:rPr>
        <w:t>.</w:t>
      </w:r>
      <w:r w:rsidR="00296EC5">
        <w:rPr>
          <w:rFonts w:eastAsia="Arial"/>
          <w:lang w:val="en-US"/>
        </w:rPr>
        <w:t xml:space="preserve"> </w:t>
      </w:r>
      <w:r w:rsidR="00296EC5">
        <w:rPr>
          <w:rFonts w:eastAsiaTheme="minorEastAsia"/>
          <w:lang w:val="en-US"/>
        </w:rPr>
        <w:t>F</w:t>
      </w:r>
      <w:r w:rsidR="00296EC5">
        <w:rPr>
          <w:rStyle w:val="ui-provider"/>
        </w:rPr>
        <w:t>rom 1 June 2023, subject to the passage of legislation, indexation will be based on</w:t>
      </w:r>
      <w:r w:rsidR="0023169F">
        <w:rPr>
          <w:rFonts w:eastAsia="Arial"/>
          <w:lang w:val="en-US"/>
        </w:rPr>
        <w:t xml:space="preserve"> </w:t>
      </w:r>
      <w:r w:rsidRPr="00BF21FD">
        <w:rPr>
          <w:rFonts w:eastAsia="Arial"/>
          <w:lang w:val="en-US"/>
        </w:rPr>
        <w:t xml:space="preserve">the </w:t>
      </w:r>
      <w:r w:rsidR="00D25789" w:rsidRPr="00BF21FD">
        <w:rPr>
          <w:rFonts w:eastAsia="Arial"/>
          <w:lang w:val="en-US"/>
        </w:rPr>
        <w:t xml:space="preserve">lower </w:t>
      </w:r>
      <w:r w:rsidR="006254E9" w:rsidRPr="00BF21FD">
        <w:rPr>
          <w:rFonts w:eastAsia="Arial"/>
          <w:lang w:val="en-US"/>
        </w:rPr>
        <w:t xml:space="preserve">of </w:t>
      </w:r>
      <w:r w:rsidR="00A539B8" w:rsidRPr="00BF21FD">
        <w:rPr>
          <w:rFonts w:eastAsia="Arial"/>
          <w:lang w:val="en-US"/>
        </w:rPr>
        <w:t xml:space="preserve">Wage Price Index or </w:t>
      </w:r>
      <w:r w:rsidRPr="00BF21FD">
        <w:rPr>
          <w:rFonts w:eastAsia="Arial"/>
          <w:lang w:val="en-US"/>
        </w:rPr>
        <w:t>Consumer Price Index. The</w:t>
      </w:r>
      <w:r w:rsidRPr="69E2749F">
        <w:rPr>
          <w:rFonts w:eastAsia="Arial"/>
          <w:lang w:val="en-US"/>
        </w:rPr>
        <w:t xml:space="preserve"> Australian Taxation Office collects repayment of these debts through the tax system. Repayment of debts commence</w:t>
      </w:r>
      <w:r w:rsidR="001C3738">
        <w:rPr>
          <w:rFonts w:eastAsia="Arial"/>
          <w:lang w:val="en-US"/>
        </w:rPr>
        <w:t>s</w:t>
      </w:r>
      <w:r w:rsidRPr="69E2749F">
        <w:rPr>
          <w:rFonts w:eastAsia="Arial"/>
          <w:lang w:val="en-US"/>
        </w:rPr>
        <w:t xml:space="preserve"> when an individual debtor</w:t>
      </w:r>
      <w:r w:rsidR="00D737F9">
        <w:rPr>
          <w:rFonts w:eastAsia="Arial"/>
          <w:lang w:val="en-US"/>
        </w:rPr>
        <w:t>’</w:t>
      </w:r>
      <w:r w:rsidRPr="69E2749F">
        <w:rPr>
          <w:rFonts w:eastAsia="Arial"/>
          <w:lang w:val="en-US"/>
        </w:rPr>
        <w:t xml:space="preserve">s income reaches the repayment threshold. Debtors must pay Higher Education Loan Program (HELP) debts before they repay VSL debts. </w:t>
      </w:r>
    </w:p>
    <w:p w14:paraId="4C82C47A" w14:textId="55457DDE" w:rsidR="0075488E" w:rsidRPr="00FA69A9" w:rsidRDefault="0075488E" w:rsidP="00CB2EBF">
      <w:pPr>
        <w:rPr>
          <w:rFonts w:eastAsia="Arial"/>
          <w:lang w:val="en-US"/>
        </w:rPr>
      </w:pPr>
      <w:r w:rsidRPr="69E2749F">
        <w:rPr>
          <w:rFonts w:eastAsia="Arial"/>
          <w:lang w:val="en-US"/>
        </w:rPr>
        <w:t>There were 129,357 VSL debtors as at 30</w:t>
      </w:r>
      <w:r w:rsidR="0023629A">
        <w:rPr>
          <w:rFonts w:eastAsia="Arial"/>
          <w:lang w:val="en-US"/>
        </w:rPr>
        <w:t> June </w:t>
      </w:r>
      <w:r w:rsidRPr="69E2749F">
        <w:rPr>
          <w:rFonts w:eastAsia="Arial"/>
          <w:lang w:val="en-US"/>
        </w:rPr>
        <w:t>2023. The repayment term of a VSL debt can only be determined for people who have fully repaid their debt. There is insufficient data for post 1</w:t>
      </w:r>
      <w:r w:rsidR="00D9795C">
        <w:rPr>
          <w:rFonts w:eastAsia="Arial"/>
          <w:lang w:val="en-US"/>
        </w:rPr>
        <w:t> July </w:t>
      </w:r>
      <w:r w:rsidRPr="69E2749F">
        <w:rPr>
          <w:rFonts w:eastAsia="Arial"/>
          <w:lang w:val="en-US"/>
        </w:rPr>
        <w:t>2019 VSL to determine the average time to repay.</w:t>
      </w:r>
    </w:p>
    <w:p w14:paraId="4FB85748" w14:textId="2F707A0A" w:rsidR="0075488E" w:rsidRDefault="0075488E" w:rsidP="00CB2EBF">
      <w:pPr>
        <w:rPr>
          <w:rFonts w:eastAsia="Arial"/>
          <w:lang w:val="en-US"/>
        </w:rPr>
      </w:pPr>
      <w:r w:rsidRPr="69E2749F">
        <w:rPr>
          <w:rFonts w:eastAsia="Arial"/>
          <w:lang w:val="en-US"/>
        </w:rPr>
        <w:t>Prior to the commencement of the VSL Program, loans for VET students were available through the VET</w:t>
      </w:r>
      <w:r w:rsidR="00D737F9">
        <w:rPr>
          <w:rFonts w:eastAsia="Arial"/>
          <w:lang w:val="en-US"/>
        </w:rPr>
        <w:noBreakHyphen/>
      </w:r>
      <w:r w:rsidRPr="69E2749F">
        <w:rPr>
          <w:rFonts w:eastAsia="Arial"/>
          <w:lang w:val="en-US"/>
        </w:rPr>
        <w:t xml:space="preserve">FEE HELP </w:t>
      </w:r>
      <w:r w:rsidR="00D559FE">
        <w:rPr>
          <w:rFonts w:eastAsia="Arial"/>
          <w:lang w:val="en-US"/>
        </w:rPr>
        <w:t>(V</w:t>
      </w:r>
      <w:r w:rsidR="00DD1572">
        <w:rPr>
          <w:rFonts w:eastAsia="Arial"/>
          <w:lang w:val="en-US"/>
        </w:rPr>
        <w:t xml:space="preserve">FH) </w:t>
      </w:r>
      <w:r w:rsidR="0077500E">
        <w:rPr>
          <w:rFonts w:eastAsia="Arial"/>
          <w:lang w:val="en-US"/>
        </w:rPr>
        <w:t>scheme</w:t>
      </w:r>
      <w:r w:rsidRPr="69E2749F">
        <w:rPr>
          <w:rFonts w:eastAsia="Arial"/>
          <w:lang w:val="en-US"/>
        </w:rPr>
        <w:t xml:space="preserve">, which closed </w:t>
      </w:r>
      <w:r w:rsidR="00355AAC">
        <w:rPr>
          <w:rFonts w:eastAsia="Arial"/>
          <w:lang w:val="en-US"/>
        </w:rPr>
        <w:t>to</w:t>
      </w:r>
      <w:r w:rsidR="00355AAC" w:rsidRPr="69E2749F">
        <w:rPr>
          <w:rFonts w:eastAsia="Arial"/>
          <w:lang w:val="en-US"/>
        </w:rPr>
        <w:t xml:space="preserve"> </w:t>
      </w:r>
      <w:r w:rsidRPr="69E2749F">
        <w:rPr>
          <w:rFonts w:eastAsia="Arial"/>
          <w:lang w:val="en-US"/>
        </w:rPr>
        <w:t>new students on 31</w:t>
      </w:r>
      <w:r w:rsidR="00D9795C">
        <w:rPr>
          <w:rFonts w:eastAsia="Arial"/>
          <w:lang w:val="en-US"/>
        </w:rPr>
        <w:t> December </w:t>
      </w:r>
      <w:r w:rsidRPr="69E2749F">
        <w:rPr>
          <w:rFonts w:eastAsia="Arial"/>
          <w:lang w:val="en-US"/>
        </w:rPr>
        <w:t>2016. As at 30</w:t>
      </w:r>
      <w:r w:rsidR="0023629A">
        <w:rPr>
          <w:rFonts w:eastAsia="Arial"/>
          <w:lang w:val="en-US"/>
        </w:rPr>
        <w:t> June </w:t>
      </w:r>
      <w:r w:rsidRPr="69E2749F">
        <w:rPr>
          <w:rFonts w:eastAsia="Arial"/>
          <w:lang w:val="en-US"/>
        </w:rPr>
        <w:t>202</w:t>
      </w:r>
      <w:r>
        <w:rPr>
          <w:rFonts w:eastAsia="Arial"/>
          <w:lang w:val="en-US"/>
        </w:rPr>
        <w:t>4</w:t>
      </w:r>
      <w:r w:rsidRPr="69E2749F">
        <w:rPr>
          <w:rFonts w:eastAsia="Arial"/>
          <w:lang w:val="en-US"/>
        </w:rPr>
        <w:t xml:space="preserve">, the fair value of both </w:t>
      </w:r>
      <w:r w:rsidR="00355AAC">
        <w:rPr>
          <w:rFonts w:eastAsia="Arial"/>
          <w:lang w:val="en-US"/>
        </w:rPr>
        <w:t>VFH</w:t>
      </w:r>
      <w:r w:rsidRPr="69E2749F">
        <w:rPr>
          <w:rFonts w:eastAsia="Arial"/>
          <w:lang w:val="en-US"/>
        </w:rPr>
        <w:t xml:space="preserve"> debt and VSL debt outstanding is estimated to </w:t>
      </w:r>
      <w:r w:rsidRPr="00A03222">
        <w:rPr>
          <w:rFonts w:eastAsia="Arial"/>
          <w:lang w:val="en-US"/>
        </w:rPr>
        <w:t>be $3.3</w:t>
      </w:r>
      <w:r w:rsidR="0023629A">
        <w:rPr>
          <w:rFonts w:eastAsia="Arial"/>
          <w:lang w:val="en-US"/>
        </w:rPr>
        <w:t> billion</w:t>
      </w:r>
      <w:r w:rsidRPr="00A03222">
        <w:rPr>
          <w:rFonts w:eastAsia="Arial"/>
          <w:lang w:val="en-US"/>
        </w:rPr>
        <w:t>.</w:t>
      </w:r>
      <w:r w:rsidRPr="69E2749F">
        <w:rPr>
          <w:rFonts w:eastAsia="Arial"/>
          <w:lang w:val="en-US"/>
        </w:rPr>
        <w:t xml:space="preserve"> The fair value takes into account the concessionality of VSL loans and makes an allowance for debt not expected to be repaid.</w:t>
      </w:r>
    </w:p>
    <w:p w14:paraId="6DF952A0" w14:textId="6DA1B830" w:rsidR="0075488E" w:rsidRPr="00FA69A9" w:rsidRDefault="0075488E" w:rsidP="00CB2EBF">
      <w:pPr>
        <w:rPr>
          <w:rFonts w:eastAsia="Arial"/>
          <w:lang w:val="en-US"/>
        </w:rPr>
      </w:pPr>
      <w:r>
        <w:t xml:space="preserve">To support students affected by the delayed transfer of historical VET loans, accessed under the former VFH scheme and the current VSL program, the </w:t>
      </w:r>
      <w:r w:rsidR="001F3211">
        <w:t>Australian Government</w:t>
      </w:r>
      <w:r>
        <w:t xml:space="preserve"> agreed to waive historical indexation for affected loans and the entirety of affected VFH debts for study prior to 2017.</w:t>
      </w:r>
    </w:p>
    <w:p w14:paraId="0DC15A2C" w14:textId="77777777" w:rsidR="009D70F5" w:rsidRDefault="009D70F5" w:rsidP="001078E4">
      <w:pPr>
        <w:pStyle w:val="Heading3"/>
        <w:rPr>
          <w:rFonts w:eastAsia="Arial"/>
        </w:rPr>
      </w:pPr>
      <w:bookmarkStart w:id="228" w:name="_Toc166165544"/>
      <w:r w:rsidRPr="00B832E0">
        <w:rPr>
          <w:rFonts w:eastAsia="Arial"/>
        </w:rPr>
        <w:t xml:space="preserve">Foreign Affairs and </w:t>
      </w:r>
      <w:r w:rsidRPr="00CB2EBF">
        <w:rPr>
          <w:rFonts w:eastAsia="Arial"/>
        </w:rPr>
        <w:t>Trade</w:t>
      </w:r>
      <w:bookmarkEnd w:id="226"/>
      <w:bookmarkEnd w:id="228"/>
    </w:p>
    <w:p w14:paraId="302ECB6F" w14:textId="6E706983" w:rsidR="005F7716" w:rsidRPr="005F06B9" w:rsidRDefault="007A36ED" w:rsidP="005F7716">
      <w:pPr>
        <w:pStyle w:val="Heading4"/>
        <w:rPr>
          <w:rFonts w:eastAsia="Arial"/>
        </w:rPr>
      </w:pPr>
      <w:r>
        <w:rPr>
          <w:rFonts w:eastAsia="Arial"/>
        </w:rPr>
        <w:t>Government support for PsiQuantum Pty Ltd</w:t>
      </w:r>
    </w:p>
    <w:p w14:paraId="1AA978E0" w14:textId="4482F834" w:rsidR="005F2F4E" w:rsidRPr="005F2F4E" w:rsidRDefault="005F7716" w:rsidP="005F7716">
      <w:pPr>
        <w:rPr>
          <w:rFonts w:eastAsia="Arial"/>
        </w:rPr>
      </w:pPr>
      <w:r>
        <w:t xml:space="preserve">The </w:t>
      </w:r>
      <w:r w:rsidRPr="00CB2EBF">
        <w:t xml:space="preserve">Australian Government has agreed to provide a financing package through Export Finance Australia to PsiQuantum </w:t>
      </w:r>
      <w:r w:rsidR="007A36ED" w:rsidRPr="00CB2EBF">
        <w:t xml:space="preserve">Pty Ltd </w:t>
      </w:r>
      <w:r w:rsidRPr="00CB2EBF">
        <w:t xml:space="preserve">to </w:t>
      </w:r>
      <w:r w:rsidR="005846EB" w:rsidRPr="00CB2EBF">
        <w:t xml:space="preserve">support the </w:t>
      </w:r>
      <w:r w:rsidRPr="00CB2EBF">
        <w:t>construct</w:t>
      </w:r>
      <w:r w:rsidR="005846EB" w:rsidRPr="00CB2EBF">
        <w:t>ion</w:t>
      </w:r>
      <w:r w:rsidRPr="00CB2EBF">
        <w:t xml:space="preserve"> and operat</w:t>
      </w:r>
      <w:r w:rsidR="000A5862" w:rsidRPr="00CB2EBF">
        <w:t xml:space="preserve">ion </w:t>
      </w:r>
      <w:r w:rsidR="00D758FB" w:rsidRPr="00CB2EBF">
        <w:t xml:space="preserve">of </w:t>
      </w:r>
      <w:r w:rsidRPr="00CB2EBF">
        <w:t>quantum comput</w:t>
      </w:r>
      <w:r w:rsidR="000A5862" w:rsidRPr="00CB2EBF">
        <w:t xml:space="preserve">ing </w:t>
      </w:r>
      <w:r w:rsidR="00A95016" w:rsidRPr="00CB2EBF">
        <w:t>capabilities and associated investment in industry and research development</w:t>
      </w:r>
      <w:r w:rsidRPr="00CB2EBF">
        <w:t xml:space="preserve"> in Brisbane. The package includes </w:t>
      </w:r>
      <w:r w:rsidR="0007345B" w:rsidRPr="00CB2EBF">
        <w:t xml:space="preserve">loans </w:t>
      </w:r>
      <w:r w:rsidRPr="00CB2EBF">
        <w:t>and equity investments</w:t>
      </w:r>
      <w:r w:rsidR="00C35E75" w:rsidRPr="00CB2EBF">
        <w:t xml:space="preserve">. The </w:t>
      </w:r>
      <w:r w:rsidRPr="00CB2EBF">
        <w:t>Australian Government is supporting the project jointly</w:t>
      </w:r>
      <w:r>
        <w:t xml:space="preserve"> with the Queensland Government. Funding has yet to be provided and will be subject to terms and conditions.</w:t>
      </w:r>
    </w:p>
    <w:p w14:paraId="43E94AD4" w14:textId="6BB8E606" w:rsidR="00EE618B" w:rsidRPr="005F06B9" w:rsidRDefault="00EE618B" w:rsidP="001078E4">
      <w:pPr>
        <w:pStyle w:val="Heading4"/>
        <w:rPr>
          <w:rFonts w:eastAsia="Arial"/>
        </w:rPr>
      </w:pPr>
      <w:bookmarkStart w:id="229" w:name="_Toc99141908"/>
      <w:r w:rsidRPr="005F06B9">
        <w:rPr>
          <w:rFonts w:eastAsia="Arial"/>
        </w:rPr>
        <w:t>Telstra acquisition of Digicel Pacific</w:t>
      </w:r>
    </w:p>
    <w:p w14:paraId="67E87ADC" w14:textId="1A0434E2" w:rsidR="00EE618B" w:rsidRPr="008D1EBB" w:rsidRDefault="00EE618B" w:rsidP="00CB2EBF">
      <w:pPr>
        <w:rPr>
          <w:rFonts w:eastAsia="Arial" w:cs="Arial"/>
          <w:b/>
          <w:bCs/>
          <w:i/>
          <w:iCs/>
          <w:lang w:val="en-US"/>
        </w:rPr>
      </w:pPr>
      <w:r w:rsidRPr="008D1EBB">
        <w:t>The Australian Government provided Telstra a financing package through Export Finance Australia for Telstra</w:t>
      </w:r>
      <w:r w:rsidR="00D737F9">
        <w:t>’</w:t>
      </w:r>
      <w:r w:rsidRPr="008D1EBB">
        <w:t>s acquisition of Digicel Pacific. Telstra now owns and operates Digicel Pacific. This package includes debt and equity, such as securities designed to secure the Government a long</w:t>
      </w:r>
      <w:r w:rsidR="00D737F9">
        <w:noBreakHyphen/>
      </w:r>
      <w:r w:rsidRPr="008D1EBB">
        <w:t>term return. It is estimated that by 30</w:t>
      </w:r>
      <w:r w:rsidR="0023629A">
        <w:t> June </w:t>
      </w:r>
      <w:r w:rsidRPr="008D1EBB">
        <w:t>2024, US$1.443</w:t>
      </w:r>
      <w:r w:rsidR="0023629A">
        <w:t> billion</w:t>
      </w:r>
      <w:r w:rsidRPr="008D1EBB">
        <w:t xml:space="preserve"> (around A$2.</w:t>
      </w:r>
      <w:r w:rsidR="000127E9">
        <w:t>029</w:t>
      </w:r>
      <w:r w:rsidR="0023629A">
        <w:t> billion</w:t>
      </w:r>
      <w:r w:rsidRPr="008D1EBB">
        <w:t>) in funds will have been drawn down.</w:t>
      </w:r>
    </w:p>
    <w:p w14:paraId="4CD38EA3" w14:textId="77777777" w:rsidR="009D70F5" w:rsidRPr="00B832E0" w:rsidRDefault="009D70F5" w:rsidP="001078E4">
      <w:pPr>
        <w:pStyle w:val="Heading3"/>
        <w:rPr>
          <w:rFonts w:eastAsia="Arial"/>
        </w:rPr>
      </w:pPr>
      <w:bookmarkStart w:id="230" w:name="_Toc166165545"/>
      <w:r w:rsidRPr="00B832E0">
        <w:rPr>
          <w:rFonts w:eastAsia="Arial"/>
        </w:rPr>
        <w:lastRenderedPageBreak/>
        <w:t>Industry, Science and Resources</w:t>
      </w:r>
      <w:bookmarkEnd w:id="230"/>
    </w:p>
    <w:p w14:paraId="1C1D2F7E" w14:textId="77777777" w:rsidR="0026670D" w:rsidRPr="00523EB3" w:rsidRDefault="0026670D" w:rsidP="001078E4">
      <w:pPr>
        <w:pStyle w:val="Heading4"/>
        <w:rPr>
          <w:rFonts w:eastAsia="Arial"/>
        </w:rPr>
      </w:pPr>
      <w:r w:rsidRPr="00523EB3">
        <w:rPr>
          <w:rFonts w:eastAsia="Arial"/>
        </w:rPr>
        <w:t xml:space="preserve">National </w:t>
      </w:r>
      <w:r w:rsidRPr="00ED15A8">
        <w:rPr>
          <w:rFonts w:eastAsia="Arial"/>
        </w:rPr>
        <w:t>Reconstruction</w:t>
      </w:r>
      <w:r w:rsidRPr="00523EB3">
        <w:rPr>
          <w:rFonts w:eastAsia="Arial"/>
        </w:rPr>
        <w:t xml:space="preserve"> Fund Corporation</w:t>
      </w:r>
    </w:p>
    <w:p w14:paraId="26B3B12B" w14:textId="2ACA7E7C" w:rsidR="0026670D" w:rsidRPr="0088573E" w:rsidRDefault="0026670D" w:rsidP="00CB2EBF">
      <w:r w:rsidRPr="00392E4B">
        <w:t xml:space="preserve">The </w:t>
      </w:r>
      <w:r w:rsidRPr="00C36068">
        <w:rPr>
          <w:i/>
          <w:iCs/>
        </w:rPr>
        <w:t>National Reconstruction Fund Corporation Act 2023</w:t>
      </w:r>
      <w:r w:rsidRPr="00392E4B">
        <w:t xml:space="preserve"> </w:t>
      </w:r>
      <w:r>
        <w:t xml:space="preserve">(NRFC Act) </w:t>
      </w:r>
      <w:r w:rsidRPr="0088573E">
        <w:t>commenced on 18</w:t>
      </w:r>
      <w:r w:rsidR="00D9795C">
        <w:t> September </w:t>
      </w:r>
      <w:r>
        <w:t>2023</w:t>
      </w:r>
      <w:r w:rsidRPr="0088573E">
        <w:t>, establishing the National Reconstruction Fund Corporation (NRFC) to facilitate increased flows of finance into priority areas of the Australian economy</w:t>
      </w:r>
      <w:r w:rsidRPr="00392E4B">
        <w:t>.</w:t>
      </w:r>
    </w:p>
    <w:p w14:paraId="56A08188" w14:textId="386F9E80" w:rsidR="0026670D" w:rsidRPr="0088573E" w:rsidRDefault="0026670D" w:rsidP="00CB2EBF">
      <w:r w:rsidRPr="0088573E">
        <w:t xml:space="preserve">The NRFC offers loans and guarantees and makes equity investments in priority areas of the economy consistent with the </w:t>
      </w:r>
      <w:r>
        <w:t>NRFC</w:t>
      </w:r>
      <w:r w:rsidRPr="0009148B">
        <w:t xml:space="preserve"> Act</w:t>
      </w:r>
      <w:r w:rsidRPr="0088573E">
        <w:t xml:space="preserve"> and the associated instrument. The NRFC will make a range of investments, including in emerging technologies and technically complex projects that carry higher risk. There are also risks inherent in investing in a large and diverse portfolio of financial assets. In practice, this will involve some short</w:t>
      </w:r>
      <w:r w:rsidR="00D737F9">
        <w:noBreakHyphen/>
      </w:r>
      <w:r w:rsidRPr="0088573E">
        <w:t>term volatility in the NRFC</w:t>
      </w:r>
      <w:r w:rsidR="00D737F9">
        <w:t>’</w:t>
      </w:r>
      <w:r w:rsidRPr="0088573E">
        <w:t>s returns, including the possibility of credit losses across the portfolio.</w:t>
      </w:r>
    </w:p>
    <w:p w14:paraId="6696201C" w14:textId="1057F554" w:rsidR="0026670D" w:rsidRPr="0088573E" w:rsidRDefault="0026670D" w:rsidP="00CB2EBF">
      <w:r w:rsidRPr="0088573E">
        <w:t xml:space="preserve">While the NRFC </w:t>
      </w:r>
      <w:r>
        <w:t>has been</w:t>
      </w:r>
      <w:r w:rsidRPr="0088573E">
        <w:t xml:space="preserve"> established in 2023–24, the risk around revenue and loss projections are unquantifiable at this time.</w:t>
      </w:r>
      <w:r w:rsidR="005D297F">
        <w:t xml:space="preserve"> </w:t>
      </w:r>
    </w:p>
    <w:p w14:paraId="285ACCFB" w14:textId="4CA0DA88" w:rsidR="0026670D" w:rsidRPr="00392E4B" w:rsidRDefault="0026670D" w:rsidP="00CB2EBF">
      <w:r w:rsidRPr="0088573E">
        <w:t>The NRFC Board develops the NRFC</w:t>
      </w:r>
      <w:r w:rsidR="00D737F9">
        <w:t>’</w:t>
      </w:r>
      <w:r w:rsidRPr="0088573E">
        <w:t xml:space="preserve">s investment portfolio with an appropriate risk tolerance relative to the National Reconstruction Fund priority areas as required by the </w:t>
      </w:r>
      <w:r w:rsidRPr="00C36068">
        <w:rPr>
          <w:i/>
          <w:iCs/>
        </w:rPr>
        <w:t>National Reconstruction Fund Corporation (Investment Mandate) Direction 2023</w:t>
      </w:r>
      <w:r w:rsidRPr="0088573E">
        <w:t xml:space="preserve"> and the </w:t>
      </w:r>
      <w:r w:rsidRPr="00C36068">
        <w:rPr>
          <w:i/>
          <w:iCs/>
        </w:rPr>
        <w:t>National Reconstruction Fund Corporation (Priority Areas) Declaration 2023</w:t>
      </w:r>
      <w:r w:rsidRPr="0088573E">
        <w:t>.</w:t>
      </w:r>
    </w:p>
    <w:p w14:paraId="4C7D9BA4" w14:textId="77777777" w:rsidR="009D70F5" w:rsidRPr="00B832E0" w:rsidRDefault="009D70F5" w:rsidP="001078E4">
      <w:pPr>
        <w:pStyle w:val="Heading3"/>
        <w:rPr>
          <w:rFonts w:eastAsia="Arial"/>
        </w:rPr>
      </w:pPr>
      <w:bookmarkStart w:id="231" w:name="_Toc166165546"/>
      <w:r w:rsidRPr="00B832E0">
        <w:rPr>
          <w:rFonts w:eastAsia="Arial"/>
        </w:rPr>
        <w:t>Infrastructure, Transport, Regional Development, Communications</w:t>
      </w:r>
      <w:bookmarkEnd w:id="229"/>
      <w:r w:rsidRPr="00B832E0">
        <w:rPr>
          <w:rFonts w:eastAsia="Arial"/>
        </w:rPr>
        <w:t xml:space="preserve"> and the Arts</w:t>
      </w:r>
      <w:bookmarkEnd w:id="231"/>
    </w:p>
    <w:p w14:paraId="09D78A92" w14:textId="77777777" w:rsidR="009176A8" w:rsidRPr="00B832E0" w:rsidRDefault="009176A8" w:rsidP="001078E4">
      <w:pPr>
        <w:pStyle w:val="Heading4"/>
        <w:rPr>
          <w:rFonts w:eastAsia="Arial"/>
        </w:rPr>
      </w:pPr>
      <w:r w:rsidRPr="00B832E0">
        <w:rPr>
          <w:rFonts w:eastAsia="Arial"/>
        </w:rPr>
        <w:t>Northern Australia Infrastructure Facility Loans</w:t>
      </w:r>
    </w:p>
    <w:p w14:paraId="2CEBC2F4" w14:textId="35325072" w:rsidR="009176A8" w:rsidRPr="00CC221B" w:rsidRDefault="009176A8" w:rsidP="00CB2EBF">
      <w:r>
        <w:t xml:space="preserve">The Northern Australia Infrastructure Facility (NAIF) is a lending facility established by the Australian Government under the </w:t>
      </w:r>
      <w:r w:rsidRPr="0005208B">
        <w:rPr>
          <w:i/>
          <w:iCs/>
        </w:rPr>
        <w:t>Northern Australia Infrastructure Facility Act 2016</w:t>
      </w:r>
      <w:r>
        <w:t xml:space="preserve"> and will </w:t>
      </w:r>
      <w:r w:rsidRPr="0005208B">
        <w:t>continue to make investment decisions</w:t>
      </w:r>
      <w:r>
        <w:t xml:space="preserve"> until 30</w:t>
      </w:r>
      <w:r w:rsidR="0023629A">
        <w:t> June </w:t>
      </w:r>
      <w:r>
        <w:t>2026. The primary purpose of the NAIF is to provide loans or alternative financing mechanisms to infrastructure projects. The infrastructure that NAIF can finance is wide ranging and includes assets that facilitate the establishment or enhancement of business activity or increase economic activity in a</w:t>
      </w:r>
      <w:r w:rsidR="00CB2EBF">
        <w:t> </w:t>
      </w:r>
      <w:r>
        <w:t>region.</w:t>
      </w:r>
    </w:p>
    <w:p w14:paraId="6BA2E228" w14:textId="219D9913" w:rsidR="009176A8" w:rsidRPr="00B832E0" w:rsidRDefault="009176A8" w:rsidP="00CB2EBF">
      <w:r w:rsidRPr="00B832E0">
        <w:t>To be eligible for a loan from the NAIF, including up to 100</w:t>
      </w:r>
      <w:r w:rsidR="00BD3D7E">
        <w:t> per cent</w:t>
      </w:r>
      <w:r w:rsidRPr="00B832E0">
        <w:t xml:space="preserve"> of the project</w:t>
      </w:r>
      <w:r w:rsidR="00D737F9">
        <w:t>’</w:t>
      </w:r>
      <w:r w:rsidRPr="00B832E0">
        <w:t xml:space="preserve">s debt, project proponents must meet the mandatory criteria outlined in the NAIF Investment Mandate </w:t>
      </w:r>
      <w:r w:rsidRPr="0005208B">
        <w:t>that commenced on</w:t>
      </w:r>
      <w:r>
        <w:t xml:space="preserve"> </w:t>
      </w:r>
      <w:bookmarkStart w:id="232" w:name="_Hlk162429097"/>
      <w:r w:rsidRPr="0005208B">
        <w:t>15</w:t>
      </w:r>
      <w:bookmarkEnd w:id="232"/>
      <w:r w:rsidR="00D9795C">
        <w:t> December </w:t>
      </w:r>
      <w:r w:rsidRPr="0005208B">
        <w:t>2023</w:t>
      </w:r>
      <w:r>
        <w:t>.</w:t>
      </w:r>
      <w:r w:rsidRPr="00B832E0">
        <w:t xml:space="preserve"> Since its establishment, the NAIF has been amended to:</w:t>
      </w:r>
    </w:p>
    <w:p w14:paraId="62CAF85D" w14:textId="1A36C56D" w:rsidR="009176A8" w:rsidRPr="00CB2EBF" w:rsidRDefault="009176A8" w:rsidP="00CB2EBF">
      <w:pPr>
        <w:pStyle w:val="Bullet"/>
        <w:rPr>
          <w:rFonts w:eastAsia="Arial"/>
        </w:rPr>
      </w:pPr>
      <w:r w:rsidRPr="00CB2EBF">
        <w:rPr>
          <w:rFonts w:eastAsia="Arial"/>
        </w:rPr>
        <w:t>expand the eligibility for NAIF financing to include non</w:t>
      </w:r>
      <w:r w:rsidR="00D737F9">
        <w:rPr>
          <w:rFonts w:eastAsia="Arial"/>
        </w:rPr>
        <w:noBreakHyphen/>
      </w:r>
      <w:r w:rsidRPr="00CB2EBF">
        <w:rPr>
          <w:rFonts w:eastAsia="Arial"/>
        </w:rPr>
        <w:t>construction activities associated with the development of economic infrastructure</w:t>
      </w:r>
    </w:p>
    <w:p w14:paraId="1FA6EDEA" w14:textId="77777777" w:rsidR="009176A8" w:rsidRPr="006A419C" w:rsidRDefault="009176A8" w:rsidP="00CB2EBF">
      <w:pPr>
        <w:pStyle w:val="Bullet"/>
        <w:rPr>
          <w:rFonts w:eastAsia="Arial"/>
        </w:rPr>
      </w:pPr>
      <w:r w:rsidRPr="00CB2EBF">
        <w:rPr>
          <w:rFonts w:eastAsia="Arial"/>
        </w:rPr>
        <w:t>provide NAIF with expanded debt tools, including the ability to provide letters of credit, guarantees and lend in foreign currency, finance smaller loans through working with financing partnerships, and</w:t>
      </w:r>
      <w:r w:rsidRPr="006A419C">
        <w:rPr>
          <w:rFonts w:eastAsia="Arial"/>
        </w:rPr>
        <w:t xml:space="preserve"> in certain circumstances provide financing directly to proponents rather than via the States or Northern Territory</w:t>
      </w:r>
    </w:p>
    <w:p w14:paraId="6201F396" w14:textId="427AC70D" w:rsidR="009176A8" w:rsidRPr="00D367D4" w:rsidRDefault="009176A8" w:rsidP="00D367D4">
      <w:pPr>
        <w:pStyle w:val="Bullet"/>
        <w:rPr>
          <w:rFonts w:eastAsia="Arial"/>
        </w:rPr>
      </w:pPr>
      <w:r w:rsidRPr="006A419C">
        <w:rPr>
          <w:rFonts w:eastAsia="Arial"/>
        </w:rPr>
        <w:lastRenderedPageBreak/>
        <w:t>make equity investments subject to a cap of $50</w:t>
      </w:r>
      <w:r w:rsidR="0023629A">
        <w:rPr>
          <w:rFonts w:eastAsia="Arial"/>
        </w:rPr>
        <w:t> </w:t>
      </w:r>
      <w:r w:rsidRPr="006A419C">
        <w:rPr>
          <w:rFonts w:eastAsia="Arial"/>
        </w:rPr>
        <w:t>million and a minimum of $5</w:t>
      </w:r>
      <w:r w:rsidR="0023629A">
        <w:rPr>
          <w:rFonts w:eastAsia="Arial"/>
        </w:rPr>
        <w:t> </w:t>
      </w:r>
      <w:r w:rsidRPr="006A419C">
        <w:rPr>
          <w:rFonts w:eastAsia="Arial"/>
        </w:rPr>
        <w:t xml:space="preserve">million </w:t>
      </w:r>
      <w:r w:rsidRPr="00D367D4">
        <w:rPr>
          <w:rFonts w:eastAsia="Arial"/>
        </w:rPr>
        <w:t>per</w:t>
      </w:r>
      <w:r w:rsidR="00D367D4">
        <w:rPr>
          <w:rFonts w:eastAsia="Arial"/>
        </w:rPr>
        <w:t> </w:t>
      </w:r>
      <w:r w:rsidRPr="00D367D4">
        <w:rPr>
          <w:rFonts w:eastAsia="Arial"/>
        </w:rPr>
        <w:t>investment, for non</w:t>
      </w:r>
      <w:r w:rsidR="00D737F9">
        <w:rPr>
          <w:rFonts w:eastAsia="Arial"/>
        </w:rPr>
        <w:noBreakHyphen/>
      </w:r>
      <w:r w:rsidRPr="00D367D4">
        <w:rPr>
          <w:rFonts w:eastAsia="Arial"/>
        </w:rPr>
        <w:t>controlling interest</w:t>
      </w:r>
    </w:p>
    <w:p w14:paraId="7FEAA990" w14:textId="55DD95E6" w:rsidR="009176A8" w:rsidRPr="00D367D4" w:rsidRDefault="009176A8" w:rsidP="00D367D4">
      <w:pPr>
        <w:pStyle w:val="Bullet"/>
        <w:rPr>
          <w:rFonts w:eastAsia="Arial"/>
        </w:rPr>
      </w:pPr>
      <w:r w:rsidRPr="00D367D4">
        <w:rPr>
          <w:rFonts w:eastAsia="Arial"/>
        </w:rPr>
        <w:t xml:space="preserve">enhance the potential to deliver significant public benefit to northern Australia by removing the prohibition against the </w:t>
      </w:r>
      <w:r w:rsidR="001F3211" w:rsidRPr="00D367D4">
        <w:rPr>
          <w:rFonts w:eastAsia="Arial"/>
        </w:rPr>
        <w:t>Australian Government</w:t>
      </w:r>
      <w:r w:rsidRPr="00D367D4">
        <w:rPr>
          <w:rFonts w:eastAsia="Arial"/>
        </w:rPr>
        <w:t xml:space="preserve"> assuming the majority risk in any project. The new requirement is that the financial risk be acceptable but not</w:t>
      </w:r>
      <w:r w:rsidR="00D367D4">
        <w:rPr>
          <w:rFonts w:eastAsia="Arial"/>
        </w:rPr>
        <w:t> </w:t>
      </w:r>
      <w:r w:rsidRPr="00D367D4">
        <w:rPr>
          <w:rFonts w:eastAsia="Arial"/>
        </w:rPr>
        <w:t xml:space="preserve">excessive </w:t>
      </w:r>
    </w:p>
    <w:p w14:paraId="687804FA" w14:textId="27911181" w:rsidR="009176A8" w:rsidRPr="00D367D4" w:rsidRDefault="009176A8" w:rsidP="00D367D4">
      <w:pPr>
        <w:pStyle w:val="Bullet"/>
        <w:rPr>
          <w:rFonts w:eastAsia="Arial"/>
        </w:rPr>
      </w:pPr>
      <w:r w:rsidRPr="00D367D4">
        <w:rPr>
          <w:rFonts w:eastAsia="Arial"/>
        </w:rPr>
        <w:t>legislate the requirement to earmark $500</w:t>
      </w:r>
      <w:r w:rsidR="0023629A" w:rsidRPr="00D367D4">
        <w:rPr>
          <w:rFonts w:eastAsia="Arial"/>
        </w:rPr>
        <w:t> </w:t>
      </w:r>
      <w:r w:rsidRPr="00D367D4">
        <w:rPr>
          <w:rFonts w:eastAsia="Arial"/>
        </w:rPr>
        <w:t>million of its $7</w:t>
      </w:r>
      <w:r w:rsidR="0023629A" w:rsidRPr="00D367D4">
        <w:rPr>
          <w:rFonts w:eastAsia="Arial"/>
        </w:rPr>
        <w:t> billion</w:t>
      </w:r>
      <w:r w:rsidRPr="00D367D4">
        <w:rPr>
          <w:rFonts w:eastAsia="Arial"/>
        </w:rPr>
        <w:t xml:space="preserve"> appropriation to go towards realising the Government</w:t>
      </w:r>
      <w:r w:rsidR="00D737F9">
        <w:rPr>
          <w:rFonts w:eastAsia="Arial"/>
        </w:rPr>
        <w:t>’</w:t>
      </w:r>
      <w:r w:rsidRPr="00D367D4">
        <w:rPr>
          <w:rFonts w:eastAsia="Arial"/>
        </w:rPr>
        <w:t>s Critical Minerals Strategy and create alignment of investment decisions to Government Policy Priorities</w:t>
      </w:r>
    </w:p>
    <w:p w14:paraId="5F63DAD6" w14:textId="10DBB6B8" w:rsidR="009176A8" w:rsidRPr="00D367D4" w:rsidRDefault="009176A8" w:rsidP="00D367D4">
      <w:pPr>
        <w:pStyle w:val="Bullet"/>
        <w:rPr>
          <w:rFonts w:eastAsia="Arial"/>
        </w:rPr>
      </w:pPr>
      <w:r w:rsidRPr="00D367D4">
        <w:rPr>
          <w:rFonts w:eastAsia="Arial"/>
        </w:rPr>
        <w:t>add further areas to be considered as part of NAIF</w:t>
      </w:r>
      <w:r w:rsidR="00D737F9">
        <w:rPr>
          <w:rFonts w:eastAsia="Arial"/>
        </w:rPr>
        <w:t>’</w:t>
      </w:r>
      <w:r w:rsidRPr="00D367D4">
        <w:rPr>
          <w:rFonts w:eastAsia="Arial"/>
        </w:rPr>
        <w:t xml:space="preserve">s Risk Appetite Statement – including risk sharing between NAIF and the </w:t>
      </w:r>
      <w:r w:rsidR="001F3211" w:rsidRPr="00D367D4">
        <w:rPr>
          <w:rFonts w:eastAsia="Arial"/>
        </w:rPr>
        <w:t>Australian Government</w:t>
      </w:r>
      <w:r w:rsidRPr="00D367D4">
        <w:rPr>
          <w:rFonts w:eastAsia="Arial"/>
        </w:rPr>
        <w:t>, climate change related risks and net zero transition risks</w:t>
      </w:r>
    </w:p>
    <w:p w14:paraId="14CF32CA" w14:textId="311DB705" w:rsidR="009176A8" w:rsidRPr="00D367D4" w:rsidRDefault="009176A8" w:rsidP="00D367D4">
      <w:pPr>
        <w:pStyle w:val="Bullet"/>
        <w:rPr>
          <w:rFonts w:eastAsia="Arial"/>
        </w:rPr>
      </w:pPr>
      <w:r w:rsidRPr="00D367D4">
        <w:rPr>
          <w:rFonts w:eastAsia="Arial"/>
        </w:rPr>
        <w:t>extend NAIF</w:t>
      </w:r>
      <w:r w:rsidR="00D737F9">
        <w:rPr>
          <w:rFonts w:eastAsia="Arial"/>
        </w:rPr>
        <w:t>’</w:t>
      </w:r>
      <w:r w:rsidRPr="00D367D4">
        <w:rPr>
          <w:rFonts w:eastAsia="Arial"/>
        </w:rPr>
        <w:t>s internal and external reporting on investments</w:t>
      </w:r>
    </w:p>
    <w:p w14:paraId="6BDC2A33" w14:textId="5A0E661D" w:rsidR="009176A8" w:rsidRPr="00D367D4" w:rsidRDefault="009176A8" w:rsidP="00D367D4">
      <w:pPr>
        <w:pStyle w:val="Bullet"/>
        <w:rPr>
          <w:rFonts w:eastAsia="Arial"/>
        </w:rPr>
      </w:pPr>
      <w:r w:rsidRPr="00D367D4">
        <w:rPr>
          <w:rFonts w:eastAsia="Arial"/>
        </w:rPr>
        <w:t>further tighten NAIFs Direct Financing powers and a greater emphasis on consulting/collaborating with other Commonwealth entities/Specialist Investment</w:t>
      </w:r>
      <w:r w:rsidR="00D367D4">
        <w:rPr>
          <w:rFonts w:eastAsia="Arial"/>
        </w:rPr>
        <w:t> </w:t>
      </w:r>
      <w:r w:rsidRPr="00D367D4">
        <w:rPr>
          <w:rFonts w:eastAsia="Arial"/>
        </w:rPr>
        <w:t>Vehicles.</w:t>
      </w:r>
    </w:p>
    <w:p w14:paraId="784BD6EB" w14:textId="77777777" w:rsidR="009176A8" w:rsidRPr="00D367D4" w:rsidRDefault="009176A8" w:rsidP="001078E4">
      <w:pPr>
        <w:rPr>
          <w:spacing w:val="-2"/>
        </w:rPr>
      </w:pPr>
      <w:r w:rsidRPr="00D367D4">
        <w:rPr>
          <w:spacing w:val="-2"/>
        </w:rPr>
        <w:t>The Australian Government updated the Investment Mandate to give effect to these changes.</w:t>
      </w:r>
    </w:p>
    <w:p w14:paraId="669E722E" w14:textId="77777777" w:rsidR="004E7C02" w:rsidRPr="00B832E0" w:rsidRDefault="004E7C02" w:rsidP="001078E4">
      <w:pPr>
        <w:pStyle w:val="Heading4"/>
        <w:rPr>
          <w:rFonts w:eastAsia="Arial"/>
        </w:rPr>
      </w:pPr>
      <w:bookmarkStart w:id="233" w:name="_Toc99141909"/>
      <w:r w:rsidRPr="00B832E0">
        <w:rPr>
          <w:rFonts w:eastAsia="Arial"/>
        </w:rPr>
        <w:t>WestConnex Stage 2 Concessional Loan</w:t>
      </w:r>
    </w:p>
    <w:p w14:paraId="69FA4A71" w14:textId="4176B73C" w:rsidR="004E7C02" w:rsidRDefault="004E7C02" w:rsidP="00D367D4">
      <w:r>
        <w:t>The WestConnex concessional loan is a $2</w:t>
      </w:r>
      <w:r w:rsidR="0023629A">
        <w:t> billion</w:t>
      </w:r>
      <w:r>
        <w:t xml:space="preserve"> loan facility provided to deliver WestConnex Stage 2. The concessional loan enabled Stage 2 to be brought forward, allowing Stages 1 and 2 to proceed in parallel. This resulted in significant time savings compared to the original approach where these stages progressed in sequence.</w:t>
      </w:r>
      <w:r w:rsidRPr="004E7C02">
        <w:t xml:space="preserve"> </w:t>
      </w:r>
    </w:p>
    <w:p w14:paraId="7DC25079" w14:textId="7052B58B" w:rsidR="004E7C02" w:rsidRPr="006D16E2" w:rsidRDefault="004E7C02" w:rsidP="00D367D4">
      <w:r>
        <w:t>WestConnex Stage 2 includes the King Georges Road Interchange Upgrade (completed in 2016) and construction of new twin tunnels from Kingsgrove to a new St Peters interchange, providing motorway connections to Alexandria and Mascot, the M4</w:t>
      </w:r>
      <w:r w:rsidR="00D737F9">
        <w:noBreakHyphen/>
      </w:r>
      <w:r>
        <w:t>M5 Link (completed in</w:t>
      </w:r>
      <w:r w:rsidR="00D9795C">
        <w:t> January </w:t>
      </w:r>
      <w:r>
        <w:t>2023) and the future Sydney Gateway.</w:t>
      </w:r>
    </w:p>
    <w:p w14:paraId="229628B8" w14:textId="7987EFA2" w:rsidR="004E7C02" w:rsidRPr="00D367D4" w:rsidRDefault="004E7C02" w:rsidP="00D367D4">
      <w:pPr>
        <w:rPr>
          <w:rFonts w:eastAsia="Arial"/>
        </w:rPr>
      </w:pPr>
      <w:r>
        <w:t>The concessional loan agreement requires that the loan be repaid between</w:t>
      </w:r>
      <w:r w:rsidR="00D9795C">
        <w:t> </w:t>
      </w:r>
      <w:r>
        <w:t>September</w:t>
      </w:r>
      <w:r w:rsidR="00D9795C">
        <w:t> </w:t>
      </w:r>
      <w:r>
        <w:t>2029 and</w:t>
      </w:r>
      <w:r w:rsidR="00D9795C">
        <w:t> July </w:t>
      </w:r>
      <w:r>
        <w:t>2034.</w:t>
      </w:r>
    </w:p>
    <w:p w14:paraId="7E55CE12" w14:textId="77777777" w:rsidR="009D70F5" w:rsidRPr="00B832E0" w:rsidRDefault="009D70F5" w:rsidP="001078E4">
      <w:pPr>
        <w:pStyle w:val="Heading3"/>
        <w:rPr>
          <w:rFonts w:eastAsia="Arial"/>
        </w:rPr>
      </w:pPr>
      <w:bookmarkStart w:id="234" w:name="_Toc166165547"/>
      <w:r w:rsidRPr="00B832E0">
        <w:rPr>
          <w:rFonts w:eastAsia="Arial"/>
        </w:rPr>
        <w:t>Prime Minister and Cabinet</w:t>
      </w:r>
      <w:bookmarkEnd w:id="233"/>
      <w:bookmarkEnd w:id="234"/>
    </w:p>
    <w:p w14:paraId="310CE1BD" w14:textId="77777777" w:rsidR="002C30CC" w:rsidRPr="00B832E0" w:rsidRDefault="002C30CC" w:rsidP="001078E4">
      <w:pPr>
        <w:pStyle w:val="Heading4"/>
        <w:rPr>
          <w:rFonts w:eastAsia="Arial"/>
        </w:rPr>
      </w:pPr>
      <w:bookmarkStart w:id="235" w:name="_Toc99141910"/>
      <w:r w:rsidRPr="00B832E0">
        <w:rPr>
          <w:rFonts w:eastAsia="Arial"/>
        </w:rPr>
        <w:t>Indigenous home ownership, business development and assistance</w:t>
      </w:r>
    </w:p>
    <w:p w14:paraId="563CE381" w14:textId="37DF5BFE" w:rsidR="002C30CC" w:rsidRPr="00307D42" w:rsidRDefault="002C30CC" w:rsidP="00D367D4">
      <w:pPr>
        <w:rPr>
          <w:rFonts w:eastAsiaTheme="minorEastAsia"/>
          <w:lang w:val="en-US"/>
        </w:rPr>
      </w:pPr>
      <w:r w:rsidRPr="0AE0DC10">
        <w:rPr>
          <w:rFonts w:eastAsiaTheme="minorEastAsia"/>
          <w:lang w:val="en-US"/>
        </w:rPr>
        <w:t>Indigenous Business Australia delivers flexible loans with concessional interest rates to</w:t>
      </w:r>
      <w:r w:rsidR="00D367D4">
        <w:rPr>
          <w:rFonts w:eastAsiaTheme="minorEastAsia"/>
          <w:lang w:val="en-US"/>
        </w:rPr>
        <w:t> </w:t>
      </w:r>
      <w:r w:rsidRPr="0AE0DC10">
        <w:rPr>
          <w:rFonts w:eastAsiaTheme="minorEastAsia"/>
          <w:lang w:val="en-US"/>
        </w:rPr>
        <w:t>improve Indigenous home ownership across Australia, including in remote Indigenous</w:t>
      </w:r>
      <w:r w:rsidR="00D367D4">
        <w:rPr>
          <w:rFonts w:eastAsiaTheme="minorEastAsia"/>
          <w:lang w:val="en-US"/>
        </w:rPr>
        <w:t> </w:t>
      </w:r>
      <w:r w:rsidRPr="0AE0DC10">
        <w:rPr>
          <w:rFonts w:eastAsiaTheme="minorEastAsia"/>
          <w:lang w:val="en-US"/>
        </w:rPr>
        <w:t>communities. Indigenous Business Australia also provides concessional interest</w:t>
      </w:r>
      <w:r w:rsidR="00D367D4">
        <w:rPr>
          <w:rFonts w:eastAsiaTheme="minorEastAsia"/>
          <w:lang w:val="en-US"/>
        </w:rPr>
        <w:t> </w:t>
      </w:r>
      <w:r w:rsidRPr="0AE0DC10">
        <w:rPr>
          <w:rFonts w:eastAsiaTheme="minorEastAsia"/>
          <w:lang w:val="en-US"/>
        </w:rPr>
        <w:t>rate business loans and business support to increase Indigenous ownership of</w:t>
      </w:r>
      <w:r w:rsidR="00D367D4">
        <w:rPr>
          <w:rFonts w:eastAsiaTheme="minorEastAsia"/>
          <w:lang w:val="en-US"/>
        </w:rPr>
        <w:t> </w:t>
      </w:r>
      <w:r w:rsidRPr="0AE0DC10">
        <w:rPr>
          <w:rFonts w:eastAsiaTheme="minorEastAsia"/>
          <w:lang w:val="en-US"/>
        </w:rPr>
        <w:t>small</w:t>
      </w:r>
      <w:r w:rsidR="00D737F9">
        <w:rPr>
          <w:rFonts w:eastAsiaTheme="minorEastAsia"/>
          <w:lang w:val="en-US"/>
        </w:rPr>
        <w:noBreakHyphen/>
      </w:r>
      <w:r w:rsidRPr="0AE0DC10">
        <w:rPr>
          <w:rFonts w:eastAsiaTheme="minorEastAsia"/>
          <w:lang w:val="en-US"/>
        </w:rPr>
        <w:t>to</w:t>
      </w:r>
      <w:r w:rsidR="00D737F9">
        <w:rPr>
          <w:rFonts w:eastAsiaTheme="minorEastAsia"/>
          <w:lang w:val="en-US"/>
        </w:rPr>
        <w:noBreakHyphen/>
      </w:r>
      <w:r w:rsidRPr="0AE0DC10">
        <w:rPr>
          <w:rFonts w:eastAsiaTheme="minorEastAsia"/>
          <w:lang w:val="en-US"/>
        </w:rPr>
        <w:t>medium</w:t>
      </w:r>
      <w:r w:rsidR="00D737F9">
        <w:rPr>
          <w:rFonts w:eastAsiaTheme="minorEastAsia"/>
          <w:lang w:val="en-US"/>
        </w:rPr>
        <w:noBreakHyphen/>
      </w:r>
      <w:r w:rsidRPr="0AE0DC10">
        <w:rPr>
          <w:rFonts w:eastAsiaTheme="minorEastAsia"/>
          <w:lang w:val="en-US"/>
        </w:rPr>
        <w:t xml:space="preserve">sized enterprises and support their sustainability and growth. </w:t>
      </w:r>
      <w:r w:rsidRPr="0AE0DC10">
        <w:rPr>
          <w:rFonts w:eastAsiaTheme="minorEastAsia"/>
          <w:lang w:val="en-US"/>
        </w:rPr>
        <w:lastRenderedPageBreak/>
        <w:t>As</w:t>
      </w:r>
      <w:bookmarkStart w:id="236" w:name="_Int_HH8oms3L"/>
      <w:r w:rsidR="00D367D4">
        <w:rPr>
          <w:rFonts w:eastAsiaTheme="minorEastAsia"/>
          <w:lang w:val="en-US"/>
        </w:rPr>
        <w:t> </w:t>
      </w:r>
      <w:r w:rsidRPr="0AE0DC10">
        <w:rPr>
          <w:rFonts w:eastAsiaTheme="minorEastAsia"/>
          <w:lang w:val="en-US"/>
        </w:rPr>
        <w:t>at</w:t>
      </w:r>
      <w:bookmarkEnd w:id="236"/>
      <w:r w:rsidR="00D367D4">
        <w:rPr>
          <w:rFonts w:eastAsiaTheme="minorEastAsia"/>
          <w:lang w:val="en-US"/>
        </w:rPr>
        <w:t> </w:t>
      </w:r>
      <w:r w:rsidRPr="0AE0DC10">
        <w:rPr>
          <w:rFonts w:eastAsiaTheme="minorEastAsia"/>
          <w:lang w:val="en-US"/>
        </w:rPr>
        <w:t>30 June 202</w:t>
      </w:r>
      <w:r>
        <w:rPr>
          <w:rFonts w:eastAsiaTheme="minorEastAsia"/>
          <w:lang w:val="en-US"/>
        </w:rPr>
        <w:t>4</w:t>
      </w:r>
      <w:r w:rsidRPr="0AE0DC10">
        <w:rPr>
          <w:rFonts w:eastAsiaTheme="minorEastAsia"/>
          <w:lang w:val="en-US"/>
        </w:rPr>
        <w:t>, the</w:t>
      </w:r>
      <w:r>
        <w:rPr>
          <w:rFonts w:eastAsiaTheme="minorEastAsia"/>
          <w:lang w:val="en-US"/>
        </w:rPr>
        <w:t xml:space="preserve"> expected</w:t>
      </w:r>
      <w:r w:rsidRPr="0AE0DC10">
        <w:rPr>
          <w:rFonts w:eastAsiaTheme="minorEastAsia"/>
          <w:lang w:val="en-US"/>
        </w:rPr>
        <w:t xml:space="preserve"> fair value of outstanding loans for Indigenous </w:t>
      </w:r>
      <w:r>
        <w:rPr>
          <w:rFonts w:eastAsiaTheme="minorEastAsia"/>
          <w:lang w:val="en-US"/>
        </w:rPr>
        <w:t>h</w:t>
      </w:r>
      <w:r w:rsidRPr="0AE0DC10">
        <w:rPr>
          <w:rFonts w:eastAsiaTheme="minorEastAsia"/>
          <w:lang w:val="en-US"/>
        </w:rPr>
        <w:t xml:space="preserve">ome </w:t>
      </w:r>
      <w:r>
        <w:rPr>
          <w:rFonts w:eastAsiaTheme="minorEastAsia"/>
          <w:lang w:val="en-US"/>
        </w:rPr>
        <w:t>o</w:t>
      </w:r>
      <w:r w:rsidRPr="0AE0DC10">
        <w:rPr>
          <w:rFonts w:eastAsiaTheme="minorEastAsia"/>
          <w:lang w:val="en-US"/>
        </w:rPr>
        <w:t xml:space="preserve">wnership and </w:t>
      </w:r>
      <w:r>
        <w:rPr>
          <w:rFonts w:eastAsiaTheme="minorEastAsia"/>
          <w:lang w:val="en-US"/>
        </w:rPr>
        <w:t>b</w:t>
      </w:r>
      <w:r w:rsidRPr="0AE0DC10">
        <w:rPr>
          <w:rFonts w:eastAsiaTheme="minorEastAsia"/>
          <w:lang w:val="en-US"/>
        </w:rPr>
        <w:t xml:space="preserve">usiness </w:t>
      </w:r>
      <w:r>
        <w:rPr>
          <w:rFonts w:eastAsiaTheme="minorEastAsia"/>
          <w:lang w:val="en-US"/>
        </w:rPr>
        <w:t>d</w:t>
      </w:r>
      <w:r w:rsidRPr="0AE0DC10">
        <w:rPr>
          <w:rFonts w:eastAsiaTheme="minorEastAsia"/>
          <w:lang w:val="en-US"/>
        </w:rPr>
        <w:t xml:space="preserve">evelopment and </w:t>
      </w:r>
      <w:r>
        <w:rPr>
          <w:rFonts w:eastAsiaTheme="minorEastAsia"/>
          <w:lang w:val="en-US"/>
        </w:rPr>
        <w:t>a</w:t>
      </w:r>
      <w:r w:rsidRPr="0AE0DC10">
        <w:rPr>
          <w:rFonts w:eastAsiaTheme="minorEastAsia"/>
          <w:lang w:val="en-US"/>
        </w:rPr>
        <w:t>ssistance is estimated to total $</w:t>
      </w:r>
      <w:r>
        <w:rPr>
          <w:rFonts w:eastAsiaTheme="minorEastAsia"/>
          <w:lang w:val="en-US"/>
        </w:rPr>
        <w:t>1,027.5</w:t>
      </w:r>
      <w:r w:rsidRPr="0AE0DC10">
        <w:rPr>
          <w:rFonts w:eastAsiaTheme="minorEastAsia"/>
          <w:lang w:val="en-US"/>
        </w:rPr>
        <w:t> million.</w:t>
      </w:r>
    </w:p>
    <w:p w14:paraId="78F0AF84" w14:textId="77777777" w:rsidR="002C30CC" w:rsidRPr="00B832E0" w:rsidRDefault="002C30CC" w:rsidP="001078E4">
      <w:pPr>
        <w:pStyle w:val="Heading4"/>
        <w:rPr>
          <w:rFonts w:eastAsia="Arial"/>
        </w:rPr>
      </w:pPr>
      <w:r w:rsidRPr="00B832E0">
        <w:rPr>
          <w:rFonts w:eastAsia="Arial"/>
        </w:rPr>
        <w:t>Voyages Indigenous Tourism Australia Pty Ltd</w:t>
      </w:r>
    </w:p>
    <w:p w14:paraId="448A4B1F" w14:textId="4F89E551" w:rsidR="002C30CC" w:rsidRDefault="002C30CC" w:rsidP="00D367D4">
      <w:pPr>
        <w:rPr>
          <w:rFonts w:eastAsiaTheme="minorEastAsia"/>
          <w:lang w:val="en-US"/>
        </w:rPr>
      </w:pPr>
      <w:r w:rsidRPr="0AE0DC10">
        <w:rPr>
          <w:rFonts w:eastAsiaTheme="minorEastAsia"/>
          <w:lang w:val="en-US"/>
        </w:rPr>
        <w:t>The Indigenous Land and Sea Corporation purchased Ayers Rock Resort for $291.2 million in May 2011 and immediately on</w:t>
      </w:r>
      <w:r w:rsidR="00D737F9">
        <w:rPr>
          <w:rFonts w:eastAsiaTheme="minorEastAsia"/>
          <w:lang w:val="en-US"/>
        </w:rPr>
        <w:noBreakHyphen/>
      </w:r>
      <w:r w:rsidRPr="0AE0DC10">
        <w:rPr>
          <w:rFonts w:eastAsiaTheme="minorEastAsia"/>
          <w:lang w:val="en-US"/>
        </w:rPr>
        <w:t>sold it to its wholly owned subsidiary, Voyages Indigenous Tourism Australia Pty Ltd, creating an inter</w:t>
      </w:r>
      <w:r w:rsidR="00D737F9">
        <w:rPr>
          <w:rFonts w:eastAsiaTheme="minorEastAsia"/>
          <w:lang w:val="en-US"/>
        </w:rPr>
        <w:noBreakHyphen/>
      </w:r>
      <w:r w:rsidRPr="0AE0DC10">
        <w:rPr>
          <w:rFonts w:eastAsiaTheme="minorEastAsia"/>
          <w:lang w:val="en-US"/>
        </w:rPr>
        <w:t>company loan that is partly funded by borrowings. The interest rate is set at the 90</w:t>
      </w:r>
      <w:r w:rsidR="00D737F9">
        <w:rPr>
          <w:rFonts w:eastAsiaTheme="minorEastAsia"/>
          <w:lang w:val="en-US"/>
        </w:rPr>
        <w:noBreakHyphen/>
      </w:r>
      <w:r w:rsidRPr="0AE0DC10">
        <w:rPr>
          <w:rFonts w:eastAsiaTheme="minorEastAsia"/>
          <w:lang w:val="en-US"/>
        </w:rPr>
        <w:t>day bank bill swap reference rate plus 5 per </w:t>
      </w:r>
      <w:bookmarkStart w:id="237" w:name="_Int_3frD3RWw"/>
      <w:r w:rsidRPr="0AE0DC10">
        <w:rPr>
          <w:rFonts w:eastAsiaTheme="minorEastAsia"/>
          <w:lang w:val="en-US"/>
        </w:rPr>
        <w:t>cent, and</w:t>
      </w:r>
      <w:bookmarkEnd w:id="237"/>
      <w:r w:rsidRPr="0AE0DC10">
        <w:rPr>
          <w:rFonts w:eastAsiaTheme="minorEastAsia"/>
          <w:lang w:val="en-US"/>
        </w:rPr>
        <w:t xml:space="preserve"> is reset 6</w:t>
      </w:r>
      <w:r w:rsidR="00D737F9">
        <w:rPr>
          <w:rFonts w:eastAsiaTheme="minorEastAsia"/>
          <w:lang w:val="en-US"/>
        </w:rPr>
        <w:noBreakHyphen/>
      </w:r>
      <w:r w:rsidRPr="0AE0DC10">
        <w:rPr>
          <w:rFonts w:eastAsiaTheme="minorEastAsia"/>
          <w:lang w:val="en-US"/>
        </w:rPr>
        <w:t xml:space="preserve">monthly. As </w:t>
      </w:r>
      <w:bookmarkStart w:id="238" w:name="_Int_PtSW7GKv"/>
      <w:r w:rsidRPr="0AE0DC10">
        <w:rPr>
          <w:rFonts w:eastAsiaTheme="minorEastAsia"/>
          <w:lang w:val="en-US"/>
        </w:rPr>
        <w:t>at</w:t>
      </w:r>
      <w:bookmarkEnd w:id="238"/>
      <w:r w:rsidRPr="0AE0DC10">
        <w:rPr>
          <w:rFonts w:eastAsiaTheme="minorEastAsia"/>
          <w:lang w:val="en-US"/>
        </w:rPr>
        <w:t xml:space="preserve"> 30 June 202</w:t>
      </w:r>
      <w:r>
        <w:rPr>
          <w:rFonts w:eastAsiaTheme="minorEastAsia"/>
          <w:lang w:val="en-US"/>
        </w:rPr>
        <w:t>4</w:t>
      </w:r>
      <w:r w:rsidRPr="0AE0DC10">
        <w:rPr>
          <w:rFonts w:eastAsiaTheme="minorEastAsia"/>
          <w:lang w:val="en-US"/>
        </w:rPr>
        <w:t>, the outstanding loan balance is estimated to total $3</w:t>
      </w:r>
      <w:r>
        <w:rPr>
          <w:rFonts w:eastAsiaTheme="minorEastAsia"/>
          <w:lang w:val="en-US"/>
        </w:rPr>
        <w:t>35.4</w:t>
      </w:r>
      <w:r w:rsidRPr="0AE0DC10">
        <w:rPr>
          <w:rFonts w:eastAsiaTheme="minorEastAsia"/>
          <w:lang w:val="en-US"/>
        </w:rPr>
        <w:t> million.</w:t>
      </w:r>
    </w:p>
    <w:p w14:paraId="235364C2" w14:textId="77777777" w:rsidR="009D70F5" w:rsidRPr="00B832E0" w:rsidRDefault="009D70F5" w:rsidP="001078E4">
      <w:pPr>
        <w:pStyle w:val="Heading3"/>
        <w:rPr>
          <w:rFonts w:eastAsia="Arial"/>
        </w:rPr>
      </w:pPr>
      <w:bookmarkStart w:id="239" w:name="_Toc166165548"/>
      <w:r w:rsidRPr="00B832E0">
        <w:rPr>
          <w:rFonts w:eastAsia="Arial"/>
        </w:rPr>
        <w:t>Social Services</w:t>
      </w:r>
      <w:bookmarkEnd w:id="235"/>
      <w:bookmarkEnd w:id="239"/>
    </w:p>
    <w:p w14:paraId="40F2E7EB" w14:textId="77777777" w:rsidR="008A5B5F" w:rsidRPr="00CD5635" w:rsidRDefault="008A5B5F" w:rsidP="001078E4">
      <w:pPr>
        <w:pStyle w:val="Heading4"/>
        <w:rPr>
          <w:rFonts w:eastAsia="Arial"/>
          <w:lang w:val="en-US"/>
        </w:rPr>
      </w:pPr>
      <w:bookmarkStart w:id="240" w:name="_Toc99141911"/>
      <w:r w:rsidRPr="00CD5635">
        <w:rPr>
          <w:rFonts w:eastAsia="Arial"/>
          <w:lang w:val="en-US"/>
        </w:rPr>
        <w:t xml:space="preserve">Home Equity </w:t>
      </w:r>
      <w:r w:rsidRPr="00ED15A8">
        <w:rPr>
          <w:rFonts w:eastAsia="Arial"/>
        </w:rPr>
        <w:t>Access</w:t>
      </w:r>
      <w:r w:rsidRPr="00CD5635">
        <w:rPr>
          <w:rFonts w:eastAsia="Arial"/>
          <w:lang w:val="en-US"/>
        </w:rPr>
        <w:t xml:space="preserve"> Scheme</w:t>
      </w:r>
    </w:p>
    <w:p w14:paraId="41B7EC67" w14:textId="7667752C" w:rsidR="008A5B5F" w:rsidRDefault="008A5B5F" w:rsidP="00D367D4">
      <w:r>
        <w:t>The Home Equity Access Scheme (HEAS) is a voluntary arrangement which allows eligible older Australians to receive a non</w:t>
      </w:r>
      <w:r w:rsidR="00D737F9">
        <w:noBreakHyphen/>
      </w:r>
      <w:r>
        <w:t xml:space="preserve">taxable loan from the </w:t>
      </w:r>
      <w:r w:rsidR="001F3211">
        <w:t>Australian Government</w:t>
      </w:r>
      <w:r>
        <w:t xml:space="preserve">. The loan can be paid as regular fortnightly instalments or capped lump sum advance payments, or both, for people of Age Pension age who meet certain residency criteria and own suitable real estate in Australia. </w:t>
      </w:r>
    </w:p>
    <w:p w14:paraId="47F4F094" w14:textId="7B6D7785" w:rsidR="008A5B5F" w:rsidRDefault="008A5B5F" w:rsidP="00D367D4">
      <w:r w:rsidRPr="7A248CF8">
        <w:rPr>
          <w:rFonts w:eastAsiaTheme="minorEastAsia"/>
          <w:lang w:val="en-US"/>
        </w:rPr>
        <w:t xml:space="preserve">Any amount received under HEAS, and any interest </w:t>
      </w:r>
      <w:r>
        <w:rPr>
          <w:rFonts w:eastAsiaTheme="minorEastAsia"/>
          <w:lang w:val="en-US"/>
        </w:rPr>
        <w:t xml:space="preserve">and costs </w:t>
      </w:r>
      <w:r w:rsidRPr="7A248CF8">
        <w:rPr>
          <w:rFonts w:eastAsiaTheme="minorEastAsia"/>
          <w:lang w:val="en-US"/>
        </w:rPr>
        <w:t>accrued</w:t>
      </w:r>
      <w:r>
        <w:t>, is attributed as a debt against real estate assets provided as collateral by the participant. The loan can be paid back at any time or is recovered on the sale of the secured real estate or from the person</w:t>
      </w:r>
      <w:r w:rsidR="00D737F9">
        <w:t>’</w:t>
      </w:r>
      <w:r>
        <w:t>s estate. Additionally, since 1</w:t>
      </w:r>
      <w:r w:rsidR="00D9795C">
        <w:t> July </w:t>
      </w:r>
      <w:r>
        <w:t>2022, a No Negative Equity Guarantee applies to HEAS loans, limiting the recoverable debt to the equity in the property used to secure the loan.</w:t>
      </w:r>
      <w:r w:rsidRPr="00480071">
        <w:t xml:space="preserve"> </w:t>
      </w:r>
    </w:p>
    <w:p w14:paraId="1ABE2A58" w14:textId="77777777" w:rsidR="008A5B5F" w:rsidRPr="00CD5635" w:rsidRDefault="008A5B5F" w:rsidP="001078E4">
      <w:pPr>
        <w:pStyle w:val="Heading4"/>
        <w:rPr>
          <w:rFonts w:eastAsia="Arial"/>
          <w:lang w:val="en-US"/>
        </w:rPr>
      </w:pPr>
      <w:r w:rsidRPr="00CD5635">
        <w:rPr>
          <w:rFonts w:eastAsia="Arial"/>
          <w:lang w:val="en-US"/>
        </w:rPr>
        <w:t xml:space="preserve">Student Financial </w:t>
      </w:r>
      <w:r w:rsidRPr="00ED15A8">
        <w:rPr>
          <w:rFonts w:eastAsia="Arial"/>
        </w:rPr>
        <w:t>Supplement</w:t>
      </w:r>
      <w:r w:rsidRPr="00CD5635">
        <w:rPr>
          <w:rFonts w:eastAsia="Arial"/>
          <w:lang w:val="en-US"/>
        </w:rPr>
        <w:t xml:space="preserve"> Scheme</w:t>
      </w:r>
    </w:p>
    <w:p w14:paraId="0C6B3DE0" w14:textId="7ADFF4E4" w:rsidR="008A5B5F" w:rsidRDefault="008A5B5F" w:rsidP="00D367D4">
      <w:r>
        <w:t>The Student Financial Supplement Scheme (SFSS) commenced in</w:t>
      </w:r>
      <w:r w:rsidR="00D9795C">
        <w:t> January </w:t>
      </w:r>
      <w:r>
        <w:t>1993 and closed on 31</w:t>
      </w:r>
      <w:r w:rsidR="00D9795C">
        <w:t> December </w:t>
      </w:r>
      <w:r>
        <w:t>2003. It was a voluntary income</w:t>
      </w:r>
      <w:r w:rsidR="00D737F9">
        <w:noBreakHyphen/>
      </w:r>
      <w:r>
        <w:t xml:space="preserve">contingent loan scheme for tertiary students (primarily Austudy and ABSTUDY) to help cover their living expenses while studying. Under the scheme, eligible students were able to trade one dollar of income support entitlement for two dollars in loans. Debtors are required to start repaying their SFSS loan once they earn $51,550 for 2023–24 and only after they have repaid any Higher Education Loan Program and Vocational Education and Training student loan debt. </w:t>
      </w:r>
    </w:p>
    <w:p w14:paraId="09316DEE" w14:textId="7745A558" w:rsidR="008A5B5F" w:rsidRPr="00C40450" w:rsidRDefault="008A5B5F" w:rsidP="00D367D4">
      <w:r w:rsidRPr="00C40450">
        <w:t>The estimated fair value of SFSS loans outstanding is $180.5</w:t>
      </w:r>
      <w:r w:rsidR="005A2EF8">
        <w:t> </w:t>
      </w:r>
      <w:r w:rsidRPr="00C40450">
        <w:t>million at 30</w:t>
      </w:r>
      <w:r w:rsidR="0023629A">
        <w:t> June </w:t>
      </w:r>
      <w:r w:rsidRPr="00C40450">
        <w:t>2024.</w:t>
      </w:r>
    </w:p>
    <w:p w14:paraId="4852F5BD" w14:textId="58A9F65C" w:rsidR="008A5B5F" w:rsidRPr="00CD5635" w:rsidRDefault="008A5B5F" w:rsidP="001078E4">
      <w:pPr>
        <w:pStyle w:val="Heading4"/>
        <w:rPr>
          <w:rFonts w:eastAsia="Arial"/>
          <w:lang w:val="en-US"/>
        </w:rPr>
      </w:pPr>
      <w:r w:rsidRPr="00CD5635">
        <w:rPr>
          <w:rFonts w:eastAsia="Arial"/>
          <w:lang w:val="en-US"/>
        </w:rPr>
        <w:t xml:space="preserve">Student </w:t>
      </w:r>
      <w:r w:rsidRPr="00ED15A8">
        <w:rPr>
          <w:rFonts w:eastAsia="Arial"/>
        </w:rPr>
        <w:t>Start</w:t>
      </w:r>
      <w:r w:rsidR="00D737F9">
        <w:rPr>
          <w:rFonts w:eastAsia="Arial"/>
          <w:lang w:val="en-US"/>
        </w:rPr>
        <w:noBreakHyphen/>
      </w:r>
      <w:r w:rsidRPr="00CD5635">
        <w:rPr>
          <w:rFonts w:eastAsia="Arial"/>
          <w:lang w:val="en-US"/>
        </w:rPr>
        <w:t>up Loan</w:t>
      </w:r>
    </w:p>
    <w:p w14:paraId="31AA28EE" w14:textId="31E6655B" w:rsidR="008A5B5F" w:rsidRPr="00F254BF" w:rsidRDefault="008A5B5F" w:rsidP="007029FF">
      <w:r w:rsidRPr="00D367D4">
        <w:t xml:space="preserve">The </w:t>
      </w:r>
      <w:r w:rsidRPr="007029FF">
        <w:t>Student Start</w:t>
      </w:r>
      <w:r w:rsidR="00D737F9">
        <w:noBreakHyphen/>
      </w:r>
      <w:r w:rsidRPr="007029FF">
        <w:t>up Loan (SSL) is a voluntary income</w:t>
      </w:r>
      <w:r w:rsidR="00D737F9">
        <w:noBreakHyphen/>
      </w:r>
      <w:r w:rsidRPr="007029FF">
        <w:t>contingent loan for student payment (Youth Allowance (student), Austudy and ABSTUDY Living Allowance) recipients undertaking higher education. Introduced on 1</w:t>
      </w:r>
      <w:r w:rsidR="00D9795C" w:rsidRPr="007029FF">
        <w:t> January </w:t>
      </w:r>
      <w:r w:rsidRPr="007029FF">
        <w:t>2016, the SSL is paid a maximum of twice a year and each SSL payment is valued at $1,273 (in 2024). The SSL is repayable under similar arrangements to Higher Education Loan Program (HELP) debts. Students are required to start repaying their SSL once they earn over $51,550 for 2023–24,</w:t>
      </w:r>
      <w:r w:rsidRPr="00F254BF">
        <w:t xml:space="preserve"> </w:t>
      </w:r>
      <w:r w:rsidRPr="00F254BF">
        <w:lastRenderedPageBreak/>
        <w:t>and only after they have repaid any HELP and Vocational Education Training student loan debt. When it commenced, the SSL was initially for new student payment recipients undertaking higher education. From 1</w:t>
      </w:r>
      <w:r w:rsidR="00D9795C">
        <w:t> July </w:t>
      </w:r>
      <w:r w:rsidRPr="00F254BF">
        <w:t>2017, with the closure of the Student Start</w:t>
      </w:r>
      <w:r w:rsidR="00D737F9">
        <w:noBreakHyphen/>
      </w:r>
      <w:r w:rsidRPr="00F254BF">
        <w:t>up Scholarship, the SSL has become available to all eligible student payment recipients undertaking higher education.</w:t>
      </w:r>
    </w:p>
    <w:p w14:paraId="67F1010F" w14:textId="001452E1" w:rsidR="008A5B5F" w:rsidRPr="00F254BF" w:rsidRDefault="008A5B5F" w:rsidP="007029FF">
      <w:r w:rsidRPr="00F254BF">
        <w:t>The estimated fair value of the SSL is $8</w:t>
      </w:r>
      <w:r w:rsidR="00CF5E36">
        <w:t>39.3</w:t>
      </w:r>
      <w:r w:rsidR="0023629A">
        <w:t> </w:t>
      </w:r>
      <w:r w:rsidRPr="00F254BF">
        <w:t>million at 30</w:t>
      </w:r>
      <w:r w:rsidR="0023629A">
        <w:t> June </w:t>
      </w:r>
      <w:r w:rsidRPr="00F254BF">
        <w:t>2024.</w:t>
      </w:r>
    </w:p>
    <w:p w14:paraId="5F9A9C3A" w14:textId="00D26661" w:rsidR="009D70F5" w:rsidRPr="00FE5783" w:rsidRDefault="009D70F5" w:rsidP="00FE5783">
      <w:pPr>
        <w:pStyle w:val="Heading3"/>
        <w:rPr>
          <w:rFonts w:eastAsia="Arial"/>
        </w:rPr>
      </w:pPr>
      <w:bookmarkStart w:id="241" w:name="_Toc166165549"/>
      <w:r w:rsidRPr="00FE5783">
        <w:rPr>
          <w:rFonts w:eastAsia="Arial"/>
        </w:rPr>
        <w:t>Treasury</w:t>
      </w:r>
      <w:bookmarkEnd w:id="240"/>
      <w:bookmarkEnd w:id="241"/>
    </w:p>
    <w:p w14:paraId="78766559" w14:textId="77777777" w:rsidR="00780BBD" w:rsidRPr="00042F00" w:rsidRDefault="00780BBD" w:rsidP="007C54D1">
      <w:pPr>
        <w:pStyle w:val="Heading4"/>
      </w:pPr>
      <w:bookmarkStart w:id="242" w:name="_Toc165618246"/>
      <w:r w:rsidRPr="00042F00">
        <w:t>Affordable Housing Bond Aggregator</w:t>
      </w:r>
      <w:bookmarkEnd w:id="242"/>
    </w:p>
    <w:p w14:paraId="711AF733" w14:textId="5F0603D0" w:rsidR="00780BBD" w:rsidRPr="00E90E89" w:rsidRDefault="00780BBD" w:rsidP="007029FF">
      <w:pPr>
        <w:rPr>
          <w:rFonts w:eastAsiaTheme="minorEastAsia"/>
          <w:lang w:val="en-US"/>
        </w:rPr>
      </w:pPr>
      <w:r w:rsidRPr="1809C9FA">
        <w:rPr>
          <w:rFonts w:eastAsiaTheme="minorEastAsia"/>
          <w:lang w:val="en-US"/>
        </w:rPr>
        <w:t>The Australian Government, through the Treasury, has made available a line of credit for the Housing Australia Affordable Housing Bond Aggregator.</w:t>
      </w:r>
      <w:r w:rsidRPr="008C599C">
        <w:rPr>
          <w:rFonts w:eastAsiaTheme="minorEastAsia"/>
          <w:lang w:val="en-US"/>
        </w:rPr>
        <w:t xml:space="preserve"> </w:t>
      </w:r>
      <w:r w:rsidR="00B1268E" w:rsidRPr="00B1268E">
        <w:rPr>
          <w:rFonts w:eastAsiaTheme="minorEastAsia"/>
          <w:lang w:val="en-US"/>
        </w:rPr>
        <w:t>As part of the 2024</w:t>
      </w:r>
      <w:r w:rsidR="007029FF">
        <w:rPr>
          <w:rFonts w:eastAsiaTheme="minorEastAsia"/>
          <w:lang w:val="en-US"/>
        </w:rPr>
        <w:t>–</w:t>
      </w:r>
      <w:r w:rsidR="00B1268E" w:rsidRPr="00B1268E">
        <w:rPr>
          <w:rFonts w:eastAsiaTheme="minorEastAsia"/>
          <w:lang w:val="en-US"/>
        </w:rPr>
        <w:t>25 Budget, the Government announced that the line of credit will be increased by $3 billion to a total of $4 billion.</w:t>
      </w:r>
      <w:r>
        <w:rPr>
          <w:rFonts w:eastAsiaTheme="minorEastAsia"/>
          <w:lang w:val="en-US"/>
        </w:rPr>
        <w:t xml:space="preserve"> </w:t>
      </w:r>
      <w:r w:rsidRPr="1809C9FA">
        <w:rPr>
          <w:rFonts w:eastAsiaTheme="minorEastAsia"/>
          <w:lang w:val="en-US"/>
        </w:rPr>
        <w:t>The provision of funds will be in accordance with appropriations under the</w:t>
      </w:r>
      <w:r w:rsidRPr="1809C9FA">
        <w:rPr>
          <w:rFonts w:eastAsiaTheme="minorEastAsia"/>
          <w:i/>
          <w:iCs/>
          <w:lang w:val="en-US"/>
        </w:rPr>
        <w:t xml:space="preserve"> </w:t>
      </w:r>
      <w:r w:rsidRPr="00C96CA9">
        <w:rPr>
          <w:rStyle w:val="Emphasis"/>
          <w:rFonts w:eastAsiaTheme="minorEastAsia"/>
        </w:rPr>
        <w:t>Housing Australia Act 2018</w:t>
      </w:r>
      <w:r w:rsidRPr="1809C9FA">
        <w:rPr>
          <w:rFonts w:eastAsiaTheme="minorEastAsia"/>
          <w:lang w:val="en-US"/>
        </w:rPr>
        <w:t>. The line of credit is ongoing, and funds borrowed will be repaid with interest. The Treasury manages the receipt of interest and principal repayments from Housing Australia. As at 30</w:t>
      </w:r>
      <w:r w:rsidR="0023629A">
        <w:rPr>
          <w:rFonts w:eastAsiaTheme="minorEastAsia"/>
          <w:lang w:val="en-US"/>
        </w:rPr>
        <w:t> June </w:t>
      </w:r>
      <w:r w:rsidRPr="1809C9FA">
        <w:rPr>
          <w:rFonts w:eastAsiaTheme="minorEastAsia"/>
          <w:lang w:val="en-US"/>
        </w:rPr>
        <w:t>202</w:t>
      </w:r>
      <w:r>
        <w:rPr>
          <w:rFonts w:eastAsiaTheme="minorEastAsia"/>
          <w:lang w:val="en-US"/>
        </w:rPr>
        <w:t>4</w:t>
      </w:r>
      <w:r w:rsidRPr="1809C9FA">
        <w:rPr>
          <w:rFonts w:eastAsiaTheme="minorEastAsia"/>
          <w:lang w:val="en-US"/>
        </w:rPr>
        <w:t xml:space="preserve">, the value of outstanding advances issued to Housing Australia from the line of credit </w:t>
      </w:r>
      <w:r>
        <w:rPr>
          <w:rFonts w:eastAsiaTheme="minorEastAsia"/>
          <w:lang w:val="en-US"/>
        </w:rPr>
        <w:t>is</w:t>
      </w:r>
      <w:r w:rsidRPr="1809C9FA">
        <w:rPr>
          <w:rFonts w:eastAsiaTheme="minorEastAsia"/>
          <w:lang w:val="en-US"/>
        </w:rPr>
        <w:t xml:space="preserve"> </w:t>
      </w:r>
      <w:r>
        <w:rPr>
          <w:rFonts w:eastAsiaTheme="minorEastAsia"/>
          <w:lang w:val="en-US"/>
        </w:rPr>
        <w:t>expected to be</w:t>
      </w:r>
      <w:r w:rsidRPr="1809C9FA">
        <w:rPr>
          <w:rFonts w:eastAsiaTheme="minorEastAsia"/>
          <w:lang w:val="en-US"/>
        </w:rPr>
        <w:t xml:space="preserve"> $</w:t>
      </w:r>
      <w:r>
        <w:rPr>
          <w:rFonts w:eastAsiaTheme="minorEastAsia"/>
          <w:lang w:val="en-US"/>
        </w:rPr>
        <w:t>80.4</w:t>
      </w:r>
      <w:r w:rsidR="0023629A">
        <w:rPr>
          <w:rFonts w:eastAsiaTheme="minorEastAsia"/>
          <w:lang w:val="en-US"/>
        </w:rPr>
        <w:t> </w:t>
      </w:r>
      <w:r w:rsidRPr="1809C9FA">
        <w:rPr>
          <w:rFonts w:eastAsiaTheme="minorEastAsia"/>
          <w:lang w:val="en-US"/>
        </w:rPr>
        <w:t>million.</w:t>
      </w:r>
    </w:p>
    <w:p w14:paraId="328A40B6" w14:textId="791C9983" w:rsidR="00780BBD" w:rsidRPr="00B832E0" w:rsidRDefault="00780BBD" w:rsidP="001078E4">
      <w:pPr>
        <w:pStyle w:val="Heading4"/>
        <w:rPr>
          <w:rFonts w:eastAsia="Arial"/>
        </w:rPr>
      </w:pPr>
      <w:r w:rsidRPr="00B832E0">
        <w:rPr>
          <w:rFonts w:eastAsia="Arial"/>
        </w:rPr>
        <w:t>Commonwealth</w:t>
      </w:r>
      <w:r w:rsidR="00D737F9">
        <w:rPr>
          <w:rFonts w:eastAsia="Arial"/>
        </w:rPr>
        <w:noBreakHyphen/>
      </w:r>
      <w:r w:rsidRPr="00B832E0">
        <w:rPr>
          <w:rFonts w:eastAsia="Arial"/>
        </w:rPr>
        <w:t>State financing arrangements – housing and specific purpose capital</w:t>
      </w:r>
    </w:p>
    <w:p w14:paraId="7CE15038" w14:textId="2A6E8ED2" w:rsidR="00780BBD" w:rsidRPr="00E71B14" w:rsidRDefault="00780BBD" w:rsidP="007029FF">
      <w:pPr>
        <w:rPr>
          <w:rFonts w:eastAsiaTheme="minorEastAsia"/>
          <w:sz w:val="24"/>
          <w:szCs w:val="24"/>
          <w:lang w:val="en-US"/>
        </w:rPr>
      </w:pPr>
      <w:r w:rsidRPr="1809C9FA">
        <w:rPr>
          <w:rFonts w:eastAsiaTheme="minorEastAsia"/>
          <w:lang w:val="en-US"/>
        </w:rPr>
        <w:t>From 1945 to 1989, the Australian Government made concessional advances to the state and Northern Territory governments under Commonwealth–</w:t>
      </w:r>
      <w:r>
        <w:rPr>
          <w:rFonts w:eastAsiaTheme="minorEastAsia"/>
          <w:lang w:val="en-US"/>
        </w:rPr>
        <w:t>s</w:t>
      </w:r>
      <w:r w:rsidRPr="1809C9FA">
        <w:rPr>
          <w:rFonts w:eastAsiaTheme="minorEastAsia"/>
          <w:lang w:val="en-US"/>
        </w:rPr>
        <w:t>tate financing arrangements for housing and for specific purpose capital. The advances were concessional fixed</w:t>
      </w:r>
      <w:r w:rsidR="00D737F9">
        <w:rPr>
          <w:rFonts w:eastAsiaTheme="minorEastAsia"/>
          <w:lang w:val="en-US"/>
        </w:rPr>
        <w:noBreakHyphen/>
      </w:r>
      <w:r w:rsidRPr="1809C9FA">
        <w:rPr>
          <w:rFonts w:eastAsiaTheme="minorEastAsia"/>
          <w:lang w:val="en-US"/>
        </w:rPr>
        <w:t>rate loans to be repaid over 53 years, with the last loans maturing in 2042. Annual payments, comprising both interest and principal repayment, are made to the Commonwealth. As at 30 June </w:t>
      </w:r>
      <w:r>
        <w:rPr>
          <w:rFonts w:eastAsiaTheme="minorEastAsia"/>
          <w:lang w:val="en-US"/>
        </w:rPr>
        <w:t>2023</w:t>
      </w:r>
      <w:r w:rsidRPr="1809C9FA">
        <w:rPr>
          <w:rFonts w:eastAsiaTheme="minorEastAsia"/>
          <w:lang w:val="en-US"/>
        </w:rPr>
        <w:t>, the amortised value of the advances was $1.3</w:t>
      </w:r>
      <w:r w:rsidR="0023629A">
        <w:rPr>
          <w:rFonts w:eastAsiaTheme="minorEastAsia"/>
          <w:lang w:val="en-US"/>
        </w:rPr>
        <w:t> billion</w:t>
      </w:r>
      <w:r w:rsidRPr="1809C9FA">
        <w:rPr>
          <w:rFonts w:eastAsiaTheme="minorEastAsia"/>
          <w:lang w:val="en-US"/>
        </w:rPr>
        <w:t xml:space="preserve"> (and principal value of $</w:t>
      </w:r>
      <w:r>
        <w:rPr>
          <w:rFonts w:eastAsiaTheme="minorEastAsia"/>
          <w:lang w:val="en-US"/>
        </w:rPr>
        <w:t>1.4</w:t>
      </w:r>
      <w:r w:rsidR="0023629A">
        <w:rPr>
          <w:rFonts w:eastAsiaTheme="minorEastAsia"/>
          <w:lang w:val="en-US"/>
        </w:rPr>
        <w:t> billion</w:t>
      </w:r>
      <w:r w:rsidRPr="1809C9FA">
        <w:rPr>
          <w:rFonts w:eastAsiaTheme="minorEastAsia"/>
          <w:lang w:val="en-US"/>
        </w:rPr>
        <w:t xml:space="preserve">). </w:t>
      </w:r>
    </w:p>
    <w:p w14:paraId="31A8E833" w14:textId="04D25496" w:rsidR="00780BBD" w:rsidRPr="00745AD1" w:rsidRDefault="00780BBD" w:rsidP="007029FF">
      <w:pPr>
        <w:rPr>
          <w:rFonts w:eastAsiaTheme="minorEastAsia"/>
          <w:lang w:val="en-US"/>
        </w:rPr>
      </w:pPr>
      <w:r w:rsidRPr="1809C9FA">
        <w:rPr>
          <w:rFonts w:eastAsiaTheme="minorEastAsia"/>
          <w:lang w:val="en-US"/>
        </w:rPr>
        <w:t>The Australian Office of Financial Management manages the receipt of interest and principal repayments from the state and Northern Territory governments to the Commonwealth</w:t>
      </w:r>
      <w:r>
        <w:rPr>
          <w:rFonts w:eastAsiaTheme="minorEastAsia"/>
          <w:lang w:val="en-US"/>
        </w:rPr>
        <w:t>.</w:t>
      </w:r>
    </w:p>
    <w:p w14:paraId="37E0B8E1" w14:textId="77777777" w:rsidR="00780BBD" w:rsidRPr="00FE387D" w:rsidRDefault="00780BBD" w:rsidP="003D3DAB">
      <w:pPr>
        <w:pStyle w:val="Heading4"/>
        <w:keepLines/>
      </w:pPr>
      <w:bookmarkStart w:id="243" w:name="_Toc165618247"/>
      <w:r w:rsidRPr="00FE387D">
        <w:t xml:space="preserve">International Monetary Fund </w:t>
      </w:r>
      <w:r w:rsidRPr="00FE387D">
        <w:rPr>
          <w:rFonts w:hint="eastAsia"/>
        </w:rPr>
        <w:t>–</w:t>
      </w:r>
      <w:r w:rsidRPr="00FE387D">
        <w:t xml:space="preserve"> Poverty Reduction and Growth Trust</w:t>
      </w:r>
      <w:bookmarkEnd w:id="243"/>
    </w:p>
    <w:p w14:paraId="43216D19" w14:textId="396BB5CC" w:rsidR="00780BBD" w:rsidRPr="00745AD1" w:rsidRDefault="00780BBD" w:rsidP="007029FF">
      <w:pPr>
        <w:rPr>
          <w:rFonts w:eastAsiaTheme="minorEastAsia"/>
          <w:lang w:val="en-US"/>
        </w:rPr>
      </w:pPr>
      <w:r w:rsidRPr="1809C9FA">
        <w:rPr>
          <w:rFonts w:eastAsiaTheme="minorEastAsia"/>
          <w:lang w:val="en-US"/>
        </w:rPr>
        <w:t xml:space="preserve">The Australian Government has entered into two agreements to make a line of credit of </w:t>
      </w:r>
      <w:r>
        <w:rPr>
          <w:rFonts w:eastAsiaTheme="minorEastAsia"/>
          <w:lang w:val="en-US"/>
        </w:rPr>
        <w:t>Special Drawing Rights (</w:t>
      </w:r>
      <w:r w:rsidRPr="1809C9FA">
        <w:rPr>
          <w:rFonts w:eastAsiaTheme="minorEastAsia"/>
          <w:lang w:val="en-US"/>
        </w:rPr>
        <w:t>SDR</w:t>
      </w:r>
      <w:r>
        <w:rPr>
          <w:rFonts w:eastAsiaTheme="minorEastAsia"/>
          <w:lang w:val="en-US"/>
        </w:rPr>
        <w:t>)</w:t>
      </w:r>
      <w:r w:rsidRPr="1809C9FA">
        <w:rPr>
          <w:rFonts w:eastAsiaTheme="minorEastAsia"/>
          <w:lang w:val="en-US"/>
        </w:rPr>
        <w:t xml:space="preserve"> 1</w:t>
      </w:r>
      <w:r w:rsidR="0023629A">
        <w:rPr>
          <w:rFonts w:eastAsiaTheme="minorEastAsia"/>
          <w:lang w:val="en-US"/>
        </w:rPr>
        <w:t> billion</w:t>
      </w:r>
      <w:r w:rsidRPr="1809C9FA">
        <w:rPr>
          <w:rFonts w:eastAsiaTheme="minorEastAsia"/>
          <w:lang w:val="en-US"/>
        </w:rPr>
        <w:t xml:space="preserve"> (approximately A$2.</w:t>
      </w:r>
      <w:r>
        <w:rPr>
          <w:rFonts w:eastAsiaTheme="minorEastAsia"/>
          <w:lang w:val="en-US"/>
        </w:rPr>
        <w:t>0</w:t>
      </w:r>
      <w:r w:rsidR="0023629A">
        <w:rPr>
          <w:rFonts w:eastAsiaTheme="minorEastAsia"/>
          <w:lang w:val="en-US"/>
        </w:rPr>
        <w:t> billion</w:t>
      </w:r>
      <w:r w:rsidRPr="1809C9FA">
        <w:rPr>
          <w:rFonts w:eastAsiaTheme="minorEastAsia"/>
          <w:lang w:val="en-US"/>
        </w:rPr>
        <w:t xml:space="preserve"> as at </w:t>
      </w:r>
      <w:r>
        <w:rPr>
          <w:rFonts w:eastAsiaTheme="minorEastAsia"/>
          <w:lang w:val="en-US"/>
        </w:rPr>
        <w:t>14</w:t>
      </w:r>
      <w:r w:rsidR="00D9795C">
        <w:rPr>
          <w:rFonts w:eastAsiaTheme="minorEastAsia"/>
          <w:lang w:val="en-US"/>
        </w:rPr>
        <w:t> March </w:t>
      </w:r>
      <w:r>
        <w:rPr>
          <w:rFonts w:eastAsiaTheme="minorEastAsia"/>
          <w:lang w:val="en-US"/>
        </w:rPr>
        <w:t>2024</w:t>
      </w:r>
      <w:r w:rsidRPr="1809C9FA">
        <w:rPr>
          <w:rFonts w:eastAsiaTheme="minorEastAsia"/>
          <w:lang w:val="en-US"/>
        </w:rPr>
        <w:t>) available to the International Monetary Fund (IMF) under the Poverty Reduction and Growth Trust (PRGT) through to 31</w:t>
      </w:r>
      <w:r w:rsidR="00D9795C">
        <w:rPr>
          <w:rFonts w:eastAsiaTheme="minorEastAsia"/>
          <w:lang w:val="en-US"/>
        </w:rPr>
        <w:t> December </w:t>
      </w:r>
      <w:r w:rsidRPr="1809C9FA">
        <w:rPr>
          <w:rFonts w:eastAsiaTheme="minorEastAsia"/>
          <w:lang w:val="en-US"/>
        </w:rPr>
        <w:t>2029.</w:t>
      </w:r>
    </w:p>
    <w:p w14:paraId="74633E5B" w14:textId="6DED0353" w:rsidR="00780BBD" w:rsidRDefault="00780BBD" w:rsidP="007029FF">
      <w:pPr>
        <w:rPr>
          <w:rFonts w:eastAsiaTheme="minorEastAsia"/>
          <w:lang w:val="en-US"/>
        </w:rPr>
      </w:pPr>
      <w:r w:rsidRPr="1809C9FA">
        <w:rPr>
          <w:rFonts w:eastAsiaTheme="minorEastAsia"/>
          <w:lang w:val="en-US"/>
        </w:rPr>
        <w:t>The PRGT provides concessional financial support to low</w:t>
      </w:r>
      <w:r w:rsidR="00D737F9">
        <w:rPr>
          <w:rFonts w:eastAsiaTheme="minorEastAsia"/>
          <w:lang w:val="en-US"/>
        </w:rPr>
        <w:noBreakHyphen/>
      </w:r>
      <w:r w:rsidRPr="1809C9FA">
        <w:rPr>
          <w:rFonts w:eastAsiaTheme="minorEastAsia"/>
          <w:lang w:val="en-US"/>
        </w:rPr>
        <w:t>income countries to help them achieve, maintain, or restore a stable and sustainable macroeconomic position. PRGT funds are drawn upon by the IMF as needed and will be repaid in full with interest.</w:t>
      </w:r>
    </w:p>
    <w:p w14:paraId="1E5C26F1" w14:textId="01A98402" w:rsidR="00780BBD" w:rsidRPr="00745AD1" w:rsidRDefault="00780BBD" w:rsidP="007029FF">
      <w:pPr>
        <w:rPr>
          <w:rFonts w:eastAsiaTheme="minorEastAsia"/>
          <w:lang w:val="en-US"/>
        </w:rPr>
      </w:pPr>
      <w:r>
        <w:rPr>
          <w:rFonts w:eastAsiaTheme="minorEastAsia"/>
          <w:lang w:val="en-US"/>
        </w:rPr>
        <w:lastRenderedPageBreak/>
        <w:t xml:space="preserve">The estimated value of loans outstanding to Australia was </w:t>
      </w:r>
      <w:r w:rsidRPr="00963C4F">
        <w:rPr>
          <w:rFonts w:eastAsiaTheme="minorEastAsia"/>
          <w:lang w:val="en-US"/>
        </w:rPr>
        <w:t>SDR 257.0</w:t>
      </w:r>
      <w:r w:rsidR="0023629A">
        <w:rPr>
          <w:rFonts w:eastAsiaTheme="minorEastAsia"/>
          <w:lang w:val="en-US"/>
        </w:rPr>
        <w:t> </w:t>
      </w:r>
      <w:r w:rsidRPr="00963C4F">
        <w:rPr>
          <w:rFonts w:eastAsiaTheme="minorEastAsia"/>
          <w:lang w:val="en-US"/>
        </w:rPr>
        <w:t>million (approximately A$</w:t>
      </w:r>
      <w:r w:rsidR="00785A3F">
        <w:rPr>
          <w:rFonts w:eastAsiaTheme="minorEastAsia"/>
          <w:lang w:val="en-US"/>
        </w:rPr>
        <w:t>518.4</w:t>
      </w:r>
      <w:r w:rsidRPr="00963C4F">
        <w:rPr>
          <w:rFonts w:eastAsiaTheme="minorEastAsia"/>
          <w:lang w:val="en-US"/>
        </w:rPr>
        <w:t xml:space="preserve"> million </w:t>
      </w:r>
      <w:r>
        <w:rPr>
          <w:rFonts w:eastAsiaTheme="minorEastAsia"/>
          <w:lang w:val="en-US"/>
        </w:rPr>
        <w:t xml:space="preserve">as at </w:t>
      </w:r>
      <w:r w:rsidR="00743FA0">
        <w:rPr>
          <w:rFonts w:eastAsiaTheme="minorEastAsia"/>
          <w:lang w:val="en-US"/>
        </w:rPr>
        <w:t>14 March </w:t>
      </w:r>
      <w:r>
        <w:rPr>
          <w:rFonts w:eastAsiaTheme="minorEastAsia"/>
          <w:lang w:val="en-US"/>
        </w:rPr>
        <w:t>2024</w:t>
      </w:r>
      <w:r w:rsidR="000C2929">
        <w:rPr>
          <w:rFonts w:eastAsiaTheme="minorEastAsia"/>
          <w:lang w:val="en-US"/>
        </w:rPr>
        <w:t>)</w:t>
      </w:r>
      <w:r>
        <w:rPr>
          <w:rFonts w:eastAsiaTheme="minorEastAsia"/>
          <w:lang w:val="en-US"/>
        </w:rPr>
        <w:t xml:space="preserve">. </w:t>
      </w:r>
    </w:p>
    <w:p w14:paraId="504EA505" w14:textId="6C2CFF61" w:rsidR="00780BBD" w:rsidRDefault="00780BBD" w:rsidP="007029FF">
      <w:pPr>
        <w:rPr>
          <w:rFonts w:eastAsiaTheme="minorEastAsia"/>
        </w:rPr>
      </w:pPr>
      <w:r w:rsidRPr="00BE5538">
        <w:rPr>
          <w:rFonts w:eastAsiaTheme="minorEastAsia"/>
        </w:rPr>
        <w:t>On 11</w:t>
      </w:r>
      <w:r w:rsidR="00D9795C">
        <w:rPr>
          <w:rFonts w:eastAsiaTheme="minorEastAsia"/>
        </w:rPr>
        <w:t> October </w:t>
      </w:r>
      <w:r w:rsidRPr="00BE5538">
        <w:rPr>
          <w:rFonts w:eastAsiaTheme="minorEastAsia"/>
        </w:rPr>
        <w:t>2022, the Government entered into an agreement to lend SDR 1</w:t>
      </w:r>
      <w:r w:rsidR="0023629A">
        <w:rPr>
          <w:rFonts w:eastAsiaTheme="minorEastAsia"/>
        </w:rPr>
        <w:t> </w:t>
      </w:r>
      <w:r w:rsidRPr="00BE5538">
        <w:rPr>
          <w:rFonts w:eastAsiaTheme="minorEastAsia"/>
        </w:rPr>
        <w:t>billion (approximately A$2.0</w:t>
      </w:r>
      <w:r w:rsidR="0023629A">
        <w:rPr>
          <w:rFonts w:eastAsiaTheme="minorEastAsia"/>
        </w:rPr>
        <w:t> billion</w:t>
      </w:r>
      <w:r w:rsidRPr="00BE5538">
        <w:rPr>
          <w:rFonts w:eastAsiaTheme="minorEastAsia"/>
        </w:rPr>
        <w:t xml:space="preserve"> as at </w:t>
      </w:r>
      <w:r w:rsidR="00743FA0">
        <w:rPr>
          <w:rFonts w:eastAsiaTheme="minorEastAsia"/>
        </w:rPr>
        <w:t>14 March </w:t>
      </w:r>
      <w:r w:rsidRPr="00BE5538">
        <w:rPr>
          <w:rFonts w:eastAsiaTheme="minorEastAsia"/>
        </w:rPr>
        <w:t>2024) to the PRGT Pooled Investments, in</w:t>
      </w:r>
      <w:r w:rsidR="007029FF">
        <w:rPr>
          <w:rFonts w:eastAsiaTheme="minorEastAsia"/>
        </w:rPr>
        <w:t> </w:t>
      </w:r>
      <w:r w:rsidRPr="00BE5538">
        <w:rPr>
          <w:rFonts w:eastAsiaTheme="minorEastAsia"/>
        </w:rPr>
        <w:t>order to provide subsidy resources to the PRGT of SDR 36 million (approximately A$72.6</w:t>
      </w:r>
      <w:r w:rsidR="0023629A">
        <w:rPr>
          <w:rFonts w:eastAsiaTheme="minorEastAsia"/>
        </w:rPr>
        <w:t> </w:t>
      </w:r>
      <w:r w:rsidRPr="00BE5538">
        <w:rPr>
          <w:rFonts w:eastAsiaTheme="minorEastAsia"/>
        </w:rPr>
        <w:t xml:space="preserve">million as at </w:t>
      </w:r>
      <w:r w:rsidR="00623BF2">
        <w:rPr>
          <w:rFonts w:eastAsiaTheme="minorEastAsia"/>
        </w:rPr>
        <w:t>14 March </w:t>
      </w:r>
      <w:r w:rsidRPr="00BE5538">
        <w:rPr>
          <w:rFonts w:eastAsiaTheme="minorEastAsia"/>
        </w:rPr>
        <w:t>2024). This loan was drawn down by the IMF on 21</w:t>
      </w:r>
      <w:r w:rsidR="00D9795C">
        <w:rPr>
          <w:rFonts w:eastAsiaTheme="minorEastAsia"/>
        </w:rPr>
        <w:t> October </w:t>
      </w:r>
      <w:r w:rsidRPr="00BE5538">
        <w:rPr>
          <w:rFonts w:eastAsiaTheme="minorEastAsia"/>
        </w:rPr>
        <w:t>2022.</w:t>
      </w:r>
      <w:r w:rsidR="00403D32" w:rsidRPr="00403D32">
        <w:rPr>
          <w:rFonts w:eastAsiaTheme="minorEastAsia"/>
          <w:lang w:val="en-US"/>
        </w:rPr>
        <w:t xml:space="preserve"> </w:t>
      </w:r>
      <w:r w:rsidR="00403D32">
        <w:rPr>
          <w:rFonts w:eastAsiaTheme="minorEastAsia"/>
          <w:lang w:val="en-US"/>
        </w:rPr>
        <w:t>On 30 October 2023 the Government advised the IMF that it would increase the subsidy resources provided to SDR 82 million (approximately A$165.4 million as at 14 March 2024).</w:t>
      </w:r>
    </w:p>
    <w:p w14:paraId="741D96DE" w14:textId="77777777" w:rsidR="00780BBD" w:rsidRDefault="00780BBD" w:rsidP="007029FF">
      <w:pPr>
        <w:rPr>
          <w:rFonts w:eastAsiaTheme="minorEastAsia"/>
          <w:lang w:val="en-US"/>
        </w:rPr>
      </w:pPr>
      <w:r w:rsidRPr="19B9363C">
        <w:rPr>
          <w:rFonts w:eastAsiaTheme="minorEastAsia"/>
          <w:lang w:val="en-US"/>
        </w:rPr>
        <w:t>PRGT Pooled Investments funds will be repaid in full, with interest.</w:t>
      </w:r>
    </w:p>
    <w:p w14:paraId="2E31ABA0" w14:textId="77777777" w:rsidR="00780BBD" w:rsidRPr="0071466F" w:rsidRDefault="00780BBD" w:rsidP="00F45F9D">
      <w:pPr>
        <w:pStyle w:val="Heading4"/>
        <w:rPr>
          <w:rFonts w:eastAsia="Arial Bold" w:cs="Arial Bold"/>
          <w:lang w:val="en-US"/>
        </w:rPr>
      </w:pPr>
      <w:r w:rsidRPr="1809C9FA">
        <w:rPr>
          <w:rFonts w:eastAsia="Arial"/>
          <w:lang w:val="en-US"/>
        </w:rPr>
        <w:t>International Monetary Fund – Resilience and Sustainability Trust</w:t>
      </w:r>
    </w:p>
    <w:p w14:paraId="4291DF09" w14:textId="60B7D683" w:rsidR="00780BBD" w:rsidRPr="00124DA1" w:rsidRDefault="00780BBD" w:rsidP="007029FF">
      <w:pPr>
        <w:rPr>
          <w:rFonts w:eastAsiaTheme="minorEastAsia"/>
        </w:rPr>
      </w:pPr>
      <w:r w:rsidRPr="00124DA1">
        <w:rPr>
          <w:rFonts w:eastAsiaTheme="minorEastAsia"/>
        </w:rPr>
        <w:t>On 11</w:t>
      </w:r>
      <w:r w:rsidR="00D9795C">
        <w:rPr>
          <w:rFonts w:eastAsiaTheme="minorEastAsia"/>
        </w:rPr>
        <w:t> October </w:t>
      </w:r>
      <w:r w:rsidRPr="00124DA1">
        <w:rPr>
          <w:rFonts w:eastAsiaTheme="minorEastAsia"/>
        </w:rPr>
        <w:t>2022, the Australian Government entered into an agreement to make a</w:t>
      </w:r>
      <w:r w:rsidR="007029FF">
        <w:rPr>
          <w:rFonts w:eastAsiaTheme="minorEastAsia"/>
        </w:rPr>
        <w:t> </w:t>
      </w:r>
      <w:r>
        <w:rPr>
          <w:rFonts w:eastAsiaTheme="minorEastAsia"/>
        </w:rPr>
        <w:t>Special</w:t>
      </w:r>
      <w:r w:rsidR="000B770A">
        <w:rPr>
          <w:rFonts w:eastAsiaTheme="minorEastAsia"/>
        </w:rPr>
        <w:t> </w:t>
      </w:r>
      <w:r>
        <w:rPr>
          <w:rFonts w:eastAsiaTheme="minorEastAsia"/>
        </w:rPr>
        <w:t>Drawing</w:t>
      </w:r>
      <w:r w:rsidR="000B770A">
        <w:rPr>
          <w:rFonts w:eastAsiaTheme="minorEastAsia"/>
        </w:rPr>
        <w:t> </w:t>
      </w:r>
      <w:r>
        <w:rPr>
          <w:rFonts w:eastAsiaTheme="minorEastAsia"/>
        </w:rPr>
        <w:t>Rights (SDR)</w:t>
      </w:r>
      <w:r w:rsidRPr="00124DA1">
        <w:rPr>
          <w:rFonts w:eastAsiaTheme="minorEastAsia"/>
        </w:rPr>
        <w:t xml:space="preserve"> 760 million (approximately A$1.</w:t>
      </w:r>
      <w:r w:rsidR="006059F5">
        <w:rPr>
          <w:rFonts w:eastAsiaTheme="minorEastAsia"/>
        </w:rPr>
        <w:t>5</w:t>
      </w:r>
      <w:r w:rsidR="0023629A">
        <w:rPr>
          <w:rFonts w:eastAsiaTheme="minorEastAsia"/>
        </w:rPr>
        <w:t> billion</w:t>
      </w:r>
      <w:r w:rsidRPr="00124DA1">
        <w:rPr>
          <w:rFonts w:eastAsiaTheme="minorEastAsia"/>
        </w:rPr>
        <w:t xml:space="preserve"> as at </w:t>
      </w:r>
      <w:r w:rsidR="006059F5">
        <w:rPr>
          <w:rFonts w:eastAsiaTheme="minorEastAsia"/>
        </w:rPr>
        <w:t>1</w:t>
      </w:r>
      <w:r w:rsidRPr="00124DA1">
        <w:rPr>
          <w:rFonts w:eastAsiaTheme="minorEastAsia"/>
        </w:rPr>
        <w:t>4</w:t>
      </w:r>
      <w:r w:rsidR="00D9795C">
        <w:rPr>
          <w:rFonts w:eastAsiaTheme="minorEastAsia"/>
        </w:rPr>
        <w:t> March </w:t>
      </w:r>
      <w:r w:rsidRPr="00124DA1">
        <w:rPr>
          <w:rFonts w:eastAsiaTheme="minorEastAsia"/>
        </w:rPr>
        <w:t>2024) line of credit available to the International Monetary Fund (IMF) under the</w:t>
      </w:r>
      <w:r w:rsidR="007029FF">
        <w:rPr>
          <w:rFonts w:eastAsiaTheme="minorEastAsia"/>
        </w:rPr>
        <w:t> </w:t>
      </w:r>
      <w:r w:rsidRPr="00124DA1">
        <w:rPr>
          <w:rFonts w:eastAsiaTheme="minorEastAsia"/>
        </w:rPr>
        <w:t>Resilience and Sustainability Trust</w:t>
      </w:r>
      <w:r w:rsidR="00D737F9">
        <w:rPr>
          <w:rFonts w:eastAsiaTheme="minorEastAsia"/>
        </w:rPr>
        <w:t>’</w:t>
      </w:r>
      <w:r w:rsidRPr="00124DA1">
        <w:rPr>
          <w:rFonts w:eastAsiaTheme="minorEastAsia"/>
        </w:rPr>
        <w:t>s Loan Account through to 30</w:t>
      </w:r>
      <w:r w:rsidR="00D9795C">
        <w:rPr>
          <w:rFonts w:eastAsiaTheme="minorEastAsia"/>
        </w:rPr>
        <w:t> November </w:t>
      </w:r>
      <w:r w:rsidRPr="00124DA1">
        <w:rPr>
          <w:rFonts w:eastAsiaTheme="minorEastAsia"/>
        </w:rPr>
        <w:t>2030. The Resilience and Sustainability Trust Loan Account provides affordable long</w:t>
      </w:r>
      <w:r w:rsidR="00D737F9">
        <w:rPr>
          <w:rFonts w:eastAsiaTheme="minorEastAsia"/>
        </w:rPr>
        <w:noBreakHyphen/>
      </w:r>
      <w:r w:rsidRPr="00124DA1">
        <w:rPr>
          <w:rFonts w:eastAsiaTheme="minorEastAsia"/>
        </w:rPr>
        <w:t>term financing to help vulnerable countries build economic resilience and sustainability to address the risks stemming from climate change and pandemics. Resilience and Sustainability Trust Loan Account funds are drawn upon by the IMF as needed and will be repaid in full</w:t>
      </w:r>
      <w:r>
        <w:rPr>
          <w:rFonts w:eastAsiaTheme="minorEastAsia"/>
        </w:rPr>
        <w:t>,</w:t>
      </w:r>
      <w:r w:rsidRPr="00124DA1">
        <w:rPr>
          <w:rFonts w:eastAsiaTheme="minorEastAsia"/>
        </w:rPr>
        <w:t xml:space="preserve"> with interest. As at </w:t>
      </w:r>
      <w:r w:rsidR="00A07851">
        <w:rPr>
          <w:rFonts w:eastAsiaTheme="minorEastAsia"/>
        </w:rPr>
        <w:t>14 March </w:t>
      </w:r>
      <w:r w:rsidRPr="00124DA1">
        <w:rPr>
          <w:rFonts w:eastAsiaTheme="minorEastAsia"/>
        </w:rPr>
        <w:t>202</w:t>
      </w:r>
      <w:r w:rsidR="00A07851">
        <w:rPr>
          <w:rFonts w:eastAsiaTheme="minorEastAsia"/>
        </w:rPr>
        <w:t>4</w:t>
      </w:r>
      <w:r w:rsidRPr="00124DA1">
        <w:rPr>
          <w:rFonts w:eastAsiaTheme="minorEastAsia"/>
        </w:rPr>
        <w:t>, SDR</w:t>
      </w:r>
      <w:r>
        <w:rPr>
          <w:rFonts w:eastAsiaTheme="minorEastAsia"/>
        </w:rPr>
        <w:t> </w:t>
      </w:r>
      <w:r w:rsidRPr="00124DA1">
        <w:rPr>
          <w:rFonts w:eastAsiaTheme="minorEastAsia"/>
        </w:rPr>
        <w:t>14.2</w:t>
      </w:r>
      <w:r>
        <w:rPr>
          <w:rFonts w:eastAsiaTheme="minorEastAsia"/>
        </w:rPr>
        <w:t> </w:t>
      </w:r>
      <w:r w:rsidRPr="00124DA1">
        <w:rPr>
          <w:rFonts w:eastAsiaTheme="minorEastAsia"/>
        </w:rPr>
        <w:t>million (approximately A$28.7 million) has been drawn down, leaving SDR</w:t>
      </w:r>
      <w:r>
        <w:rPr>
          <w:rFonts w:eastAsiaTheme="minorEastAsia"/>
        </w:rPr>
        <w:t> </w:t>
      </w:r>
      <w:r w:rsidRPr="00124DA1">
        <w:rPr>
          <w:rFonts w:eastAsiaTheme="minorEastAsia"/>
        </w:rPr>
        <w:t>745.8</w:t>
      </w:r>
      <w:r>
        <w:rPr>
          <w:rFonts w:eastAsiaTheme="minorEastAsia"/>
        </w:rPr>
        <w:t> </w:t>
      </w:r>
      <w:r w:rsidRPr="00124DA1">
        <w:rPr>
          <w:rFonts w:eastAsiaTheme="minorEastAsia"/>
        </w:rPr>
        <w:t>million (approximately A$1.5</w:t>
      </w:r>
      <w:r w:rsidR="0023629A">
        <w:rPr>
          <w:rFonts w:eastAsiaTheme="minorEastAsia"/>
        </w:rPr>
        <w:t> billion</w:t>
      </w:r>
      <w:r w:rsidRPr="00124DA1">
        <w:rPr>
          <w:rFonts w:eastAsiaTheme="minorEastAsia"/>
        </w:rPr>
        <w:t>) available to the IMF under the Resilience and Sustainability Trust.</w:t>
      </w:r>
    </w:p>
    <w:p w14:paraId="712621CD" w14:textId="43102846" w:rsidR="00780BBD" w:rsidRPr="00124DA1" w:rsidRDefault="00780BBD" w:rsidP="007029FF">
      <w:pPr>
        <w:rPr>
          <w:rFonts w:eastAsiaTheme="minorEastAsia"/>
        </w:rPr>
      </w:pPr>
      <w:r w:rsidRPr="00124DA1">
        <w:rPr>
          <w:rFonts w:eastAsiaTheme="minorEastAsia"/>
        </w:rPr>
        <w:t>Additionally, on 11</w:t>
      </w:r>
      <w:r w:rsidR="00D9795C">
        <w:rPr>
          <w:rFonts w:eastAsiaTheme="minorEastAsia"/>
        </w:rPr>
        <w:t> October </w:t>
      </w:r>
      <w:r w:rsidRPr="00124DA1">
        <w:rPr>
          <w:rFonts w:eastAsiaTheme="minorEastAsia"/>
        </w:rPr>
        <w:t>2022, the Australian Government entered into an agreement to</w:t>
      </w:r>
      <w:r w:rsidR="007029FF">
        <w:rPr>
          <w:rFonts w:eastAsiaTheme="minorEastAsia"/>
        </w:rPr>
        <w:t>–</w:t>
      </w:r>
      <w:r w:rsidRPr="00124DA1">
        <w:rPr>
          <w:rFonts w:eastAsiaTheme="minorEastAsia"/>
        </w:rPr>
        <w:t>lend SDR 152 million (approximately A$306.</w:t>
      </w:r>
      <w:r w:rsidR="00A64455">
        <w:rPr>
          <w:rFonts w:eastAsiaTheme="minorEastAsia"/>
        </w:rPr>
        <w:t>6</w:t>
      </w:r>
      <w:r w:rsidRPr="00124DA1">
        <w:rPr>
          <w:rFonts w:eastAsiaTheme="minorEastAsia"/>
        </w:rPr>
        <w:t xml:space="preserve"> million as at </w:t>
      </w:r>
      <w:r w:rsidR="00A64455">
        <w:rPr>
          <w:rFonts w:eastAsiaTheme="minorEastAsia"/>
        </w:rPr>
        <w:t>14 March </w:t>
      </w:r>
      <w:r w:rsidRPr="00124DA1">
        <w:rPr>
          <w:rFonts w:eastAsiaTheme="minorEastAsia"/>
        </w:rPr>
        <w:t>2024) to the Resilience</w:t>
      </w:r>
      <w:r w:rsidR="007029FF">
        <w:rPr>
          <w:rFonts w:eastAsiaTheme="minorEastAsia"/>
        </w:rPr>
        <w:t>–</w:t>
      </w:r>
      <w:r w:rsidRPr="00124DA1">
        <w:rPr>
          <w:rFonts w:eastAsiaTheme="minorEastAsia"/>
        </w:rPr>
        <w:t xml:space="preserve">and Sustainability Trust Deposit Account </w:t>
      </w:r>
      <w:r w:rsidRPr="007029FF">
        <w:rPr>
          <w:rFonts w:eastAsiaTheme="minorEastAsia"/>
        </w:rPr>
        <w:t>through to 30</w:t>
      </w:r>
      <w:r w:rsidR="00D9795C" w:rsidRPr="007029FF">
        <w:rPr>
          <w:rFonts w:eastAsiaTheme="minorEastAsia"/>
        </w:rPr>
        <w:t> November </w:t>
      </w:r>
      <w:r w:rsidRPr="007029FF">
        <w:rPr>
          <w:rFonts w:eastAsiaTheme="minorEastAsia"/>
        </w:rPr>
        <w:t>2050, and SDR 15.2 million (approximately A$</w:t>
      </w:r>
      <w:r w:rsidRPr="007029FF" w:rsidDel="0028424F">
        <w:rPr>
          <w:rFonts w:eastAsiaTheme="minorEastAsia"/>
        </w:rPr>
        <w:t>30.</w:t>
      </w:r>
      <w:r w:rsidRPr="007029FF">
        <w:rPr>
          <w:rFonts w:eastAsiaTheme="minorEastAsia"/>
        </w:rPr>
        <w:t xml:space="preserve">7 million as at </w:t>
      </w:r>
      <w:r w:rsidR="00BC0BF5" w:rsidRPr="007029FF">
        <w:rPr>
          <w:rFonts w:eastAsiaTheme="minorEastAsia"/>
        </w:rPr>
        <w:t>14 March </w:t>
      </w:r>
      <w:r w:rsidRPr="007029FF">
        <w:rPr>
          <w:rFonts w:eastAsiaTheme="minorEastAsia"/>
        </w:rPr>
        <w:t>2024) to the Resilience and Sustainability Trust Reserve Account through to liquidation of the Trust. Resilience and Sustainability Trust Deposit Account funds will be repaid in full, with interest. Resilience and Sustainability Trust Reserve Account funds will be repaid upon liquidation of the Trust and will not accrue interest. These additional contributions</w:t>
      </w:r>
      <w:r w:rsidRPr="00124DA1">
        <w:rPr>
          <w:rFonts w:eastAsiaTheme="minorEastAsia"/>
        </w:rPr>
        <w:t xml:space="preserve"> will enable the IMF to build sufficient reserves over time to manage risks associated with Resilience and Sustainability Trust lending such as potential late payments.</w:t>
      </w:r>
    </w:p>
    <w:p w14:paraId="5EEBA4E4" w14:textId="77777777" w:rsidR="00780BBD" w:rsidRPr="00B832E0" w:rsidRDefault="00780BBD" w:rsidP="001078E4">
      <w:pPr>
        <w:pStyle w:val="Heading4"/>
        <w:rPr>
          <w:rFonts w:eastAsia="Arial"/>
        </w:rPr>
      </w:pPr>
      <w:r w:rsidRPr="00B832E0">
        <w:rPr>
          <w:rFonts w:eastAsia="Arial"/>
        </w:rPr>
        <w:t>Loan Agreement between the Australian Government and the Government of Indonesia</w:t>
      </w:r>
    </w:p>
    <w:p w14:paraId="11219C91" w14:textId="33C6FDC5" w:rsidR="00780BBD" w:rsidRPr="007029FF" w:rsidRDefault="00780BBD" w:rsidP="007029FF">
      <w:pPr>
        <w:rPr>
          <w:rFonts w:eastAsiaTheme="minorEastAsia"/>
        </w:rPr>
      </w:pPr>
      <w:r w:rsidRPr="1809C9FA">
        <w:rPr>
          <w:rFonts w:eastAsiaTheme="minorEastAsia"/>
          <w:lang w:val="en-US"/>
        </w:rPr>
        <w:t>On 12 November 2020, Australia entered into a A$1.5</w:t>
      </w:r>
      <w:r w:rsidR="0023629A">
        <w:rPr>
          <w:rFonts w:eastAsiaTheme="minorEastAsia"/>
          <w:lang w:val="en-US"/>
        </w:rPr>
        <w:t> billion</w:t>
      </w:r>
      <w:r w:rsidRPr="1809C9FA">
        <w:rPr>
          <w:rFonts w:eastAsiaTheme="minorEastAsia"/>
          <w:lang w:val="en-US"/>
        </w:rPr>
        <w:t xml:space="preserve"> loan agreement with Indonesia. This agreement is part of a multilateral action to support Indonesia led by the Asian Development Bank and includes the Asian Infrastructure Investment Bank, the Japan International Cooperation Agency and the German state</w:t>
      </w:r>
      <w:r w:rsidR="00D737F9">
        <w:rPr>
          <w:rFonts w:eastAsiaTheme="minorEastAsia"/>
          <w:lang w:val="en-US"/>
        </w:rPr>
        <w:noBreakHyphen/>
      </w:r>
      <w:r w:rsidRPr="1809C9FA">
        <w:rPr>
          <w:rFonts w:eastAsiaTheme="minorEastAsia"/>
          <w:lang w:val="en-US"/>
        </w:rPr>
        <w:t xml:space="preserve">owned </w:t>
      </w:r>
      <w:r>
        <w:rPr>
          <w:rFonts w:eastAsiaTheme="minorEastAsia"/>
          <w:lang w:val="en-US"/>
        </w:rPr>
        <w:t>KfW D</w:t>
      </w:r>
      <w:r w:rsidRPr="1809C9FA">
        <w:rPr>
          <w:rFonts w:eastAsiaTheme="minorEastAsia"/>
          <w:lang w:val="en-US"/>
        </w:rPr>
        <w:t xml:space="preserve">evelopment </w:t>
      </w:r>
      <w:r>
        <w:rPr>
          <w:rFonts w:eastAsiaTheme="minorEastAsia"/>
          <w:lang w:val="en-US"/>
        </w:rPr>
        <w:t>B</w:t>
      </w:r>
      <w:r w:rsidRPr="1809C9FA">
        <w:rPr>
          <w:rFonts w:eastAsiaTheme="minorEastAsia"/>
          <w:lang w:val="en-US"/>
        </w:rPr>
        <w:t xml:space="preserve">ank. </w:t>
      </w:r>
    </w:p>
    <w:p w14:paraId="51802311" w14:textId="1D724C43" w:rsidR="00780BBD" w:rsidRPr="007029FF" w:rsidRDefault="00780BBD" w:rsidP="007029FF">
      <w:pPr>
        <w:rPr>
          <w:rFonts w:eastAsiaTheme="minorEastAsia"/>
        </w:rPr>
      </w:pPr>
      <w:r w:rsidRPr="1809C9FA">
        <w:rPr>
          <w:rFonts w:eastAsiaTheme="minorEastAsia"/>
          <w:lang w:val="en-US"/>
        </w:rPr>
        <w:t xml:space="preserve">The funds </w:t>
      </w:r>
      <w:r>
        <w:rPr>
          <w:rFonts w:eastAsiaTheme="minorEastAsia"/>
          <w:lang w:val="en-US"/>
        </w:rPr>
        <w:t>are being</w:t>
      </w:r>
      <w:r w:rsidRPr="1809C9FA">
        <w:rPr>
          <w:rFonts w:eastAsiaTheme="minorEastAsia"/>
          <w:lang w:val="en-US"/>
        </w:rPr>
        <w:t xml:space="preserve"> used to support Indonesia</w:t>
      </w:r>
      <w:r w:rsidR="00D737F9">
        <w:rPr>
          <w:rFonts w:eastAsiaTheme="minorEastAsia"/>
          <w:lang w:val="en-US"/>
        </w:rPr>
        <w:t>’</w:t>
      </w:r>
      <w:r w:rsidRPr="1809C9FA">
        <w:rPr>
          <w:rFonts w:eastAsiaTheme="minorEastAsia"/>
          <w:lang w:val="en-US"/>
        </w:rPr>
        <w:t>s COVID</w:t>
      </w:r>
      <w:r w:rsidR="00D737F9">
        <w:rPr>
          <w:rFonts w:eastAsiaTheme="minorEastAsia"/>
          <w:lang w:val="en-US"/>
        </w:rPr>
        <w:noBreakHyphen/>
      </w:r>
      <w:r w:rsidRPr="1809C9FA">
        <w:rPr>
          <w:rFonts w:eastAsiaTheme="minorEastAsia"/>
          <w:lang w:val="en-US"/>
        </w:rPr>
        <w:t xml:space="preserve">19 response, including social protection initiatives and health system development. </w:t>
      </w:r>
    </w:p>
    <w:p w14:paraId="3BCE2C73" w14:textId="77777777" w:rsidR="00780BBD" w:rsidRPr="00B832E0" w:rsidRDefault="00780BBD" w:rsidP="001078E4">
      <w:pPr>
        <w:pStyle w:val="Heading4"/>
        <w:rPr>
          <w:rFonts w:eastAsia="Arial"/>
        </w:rPr>
      </w:pPr>
      <w:r w:rsidRPr="00B832E0">
        <w:rPr>
          <w:rFonts w:eastAsia="Arial"/>
        </w:rPr>
        <w:lastRenderedPageBreak/>
        <w:t>2020 Loan Agreement between the Australian Government and the Government of Papua New Guinea</w:t>
      </w:r>
    </w:p>
    <w:p w14:paraId="6F8C197B" w14:textId="09A97DD5" w:rsidR="00780BBD" w:rsidRPr="00BB6213" w:rsidRDefault="00780BBD" w:rsidP="007029FF">
      <w:pPr>
        <w:rPr>
          <w:rFonts w:eastAsiaTheme="minorEastAsia"/>
        </w:rPr>
      </w:pPr>
      <w:r w:rsidRPr="7B679C2B">
        <w:rPr>
          <w:rFonts w:eastAsiaTheme="minorEastAsia"/>
        </w:rPr>
        <w:t>On 22</w:t>
      </w:r>
      <w:r w:rsidRPr="7B679C2B">
        <w:rPr>
          <w:rFonts w:eastAsiaTheme="minorEastAsia" w:hint="eastAsia"/>
        </w:rPr>
        <w:t> </w:t>
      </w:r>
      <w:r w:rsidRPr="7B679C2B">
        <w:rPr>
          <w:rFonts w:eastAsiaTheme="minorEastAsia"/>
        </w:rPr>
        <w:t>November</w:t>
      </w:r>
      <w:r w:rsidRPr="7B679C2B">
        <w:rPr>
          <w:rFonts w:eastAsiaTheme="minorEastAsia" w:hint="eastAsia"/>
        </w:rPr>
        <w:t> </w:t>
      </w:r>
      <w:r w:rsidRPr="7B679C2B">
        <w:rPr>
          <w:rFonts w:eastAsiaTheme="minorEastAsia"/>
        </w:rPr>
        <w:t>2020, the Australian Government entered into a loan agreement for US$400</w:t>
      </w:r>
      <w:r w:rsidRPr="7B679C2B">
        <w:rPr>
          <w:rFonts w:eastAsiaTheme="minorEastAsia" w:hint="eastAsia"/>
        </w:rPr>
        <w:t> </w:t>
      </w:r>
      <w:r w:rsidRPr="7B679C2B">
        <w:rPr>
          <w:rFonts w:eastAsiaTheme="minorEastAsia"/>
        </w:rPr>
        <w:t>million (approximately A$558 million) in 2020</w:t>
      </w:r>
      <w:r w:rsidR="007029FF">
        <w:rPr>
          <w:rFonts w:eastAsiaTheme="minorEastAsia"/>
        </w:rPr>
        <w:t>–</w:t>
      </w:r>
      <w:r w:rsidRPr="7B679C2B">
        <w:rPr>
          <w:rFonts w:eastAsiaTheme="minorEastAsia"/>
        </w:rPr>
        <w:t>21 to the Government of Papua New Guinea (PNG). The</w:t>
      </w:r>
      <w:r w:rsidRPr="7B679C2B">
        <w:rPr>
          <w:rFonts w:eastAsiaTheme="minorEastAsia" w:hint="eastAsia"/>
        </w:rPr>
        <w:t> </w:t>
      </w:r>
      <w:r w:rsidRPr="7B679C2B">
        <w:rPr>
          <w:rFonts w:eastAsiaTheme="minorEastAsia"/>
        </w:rPr>
        <w:t>loan refinances the US$300 million short</w:t>
      </w:r>
      <w:r w:rsidR="00D737F9">
        <w:rPr>
          <w:rFonts w:eastAsiaTheme="minorEastAsia"/>
        </w:rPr>
        <w:noBreakHyphen/>
      </w:r>
      <w:r w:rsidRPr="7B679C2B">
        <w:rPr>
          <w:rFonts w:eastAsiaTheme="minorEastAsia"/>
        </w:rPr>
        <w:t>term loan made in 2019</w:t>
      </w:r>
      <w:r w:rsidR="0023629A">
        <w:rPr>
          <w:rFonts w:ascii="Times New Roman" w:eastAsiaTheme="minorEastAsia" w:hAnsi="Times New Roman"/>
        </w:rPr>
        <w:t>‍</w:t>
      </w:r>
      <w:r w:rsidR="00CB05B6">
        <w:rPr>
          <w:rFonts w:eastAsiaTheme="minorEastAsia"/>
          <w:lang w:val="en-US"/>
        </w:rPr>
        <w:t>–</w:t>
      </w:r>
      <w:r w:rsidR="00400485">
        <w:rPr>
          <w:rFonts w:ascii="Times New Roman" w:eastAsiaTheme="minorEastAsia" w:hAnsi="Times New Roman"/>
          <w:lang w:val="en-US"/>
        </w:rPr>
        <w:t>‍</w:t>
      </w:r>
      <w:r w:rsidRPr="7B679C2B">
        <w:rPr>
          <w:rFonts w:eastAsiaTheme="minorEastAsia"/>
        </w:rPr>
        <w:t>20 and a further A$140</w:t>
      </w:r>
      <w:r w:rsidRPr="7B679C2B">
        <w:rPr>
          <w:rFonts w:eastAsiaTheme="minorEastAsia" w:hint="eastAsia"/>
        </w:rPr>
        <w:t> </w:t>
      </w:r>
      <w:r w:rsidRPr="7B679C2B">
        <w:rPr>
          <w:rFonts w:eastAsiaTheme="minorEastAsia"/>
        </w:rPr>
        <w:t>million loan for budget support, including PNG</w:t>
      </w:r>
      <w:r w:rsidR="00D737F9">
        <w:rPr>
          <w:rFonts w:eastAsiaTheme="minorEastAsia"/>
        </w:rPr>
        <w:t>’</w:t>
      </w:r>
      <w:r w:rsidRPr="7B679C2B">
        <w:rPr>
          <w:rFonts w:eastAsiaTheme="minorEastAsia"/>
        </w:rPr>
        <w:t>s response to COVID</w:t>
      </w:r>
      <w:r w:rsidR="00D737F9">
        <w:rPr>
          <w:rFonts w:eastAsiaTheme="minorEastAsia"/>
        </w:rPr>
        <w:noBreakHyphen/>
      </w:r>
      <w:r w:rsidRPr="7B679C2B">
        <w:rPr>
          <w:rFonts w:eastAsiaTheme="minorEastAsia"/>
        </w:rPr>
        <w:t>19. The</w:t>
      </w:r>
      <w:r w:rsidRPr="7B679C2B">
        <w:rPr>
          <w:rFonts w:eastAsiaTheme="minorEastAsia" w:hint="eastAsia"/>
        </w:rPr>
        <w:t> </w:t>
      </w:r>
      <w:r w:rsidRPr="7B679C2B">
        <w:rPr>
          <w:rFonts w:eastAsiaTheme="minorEastAsia"/>
        </w:rPr>
        <w:t>previous short</w:t>
      </w:r>
      <w:r w:rsidR="00D737F9">
        <w:rPr>
          <w:rFonts w:eastAsiaTheme="minorEastAsia"/>
        </w:rPr>
        <w:noBreakHyphen/>
      </w:r>
      <w:r w:rsidRPr="7B679C2B">
        <w:rPr>
          <w:rFonts w:eastAsiaTheme="minorEastAsia"/>
        </w:rPr>
        <w:t xml:space="preserve">term loan was made to support budget sustainability, assist in the delivery of core government services, support longer term economic reforms, and increase the availability of foreign exchange in the country. The </w:t>
      </w:r>
      <w:r w:rsidR="001F3211">
        <w:rPr>
          <w:rFonts w:eastAsiaTheme="minorEastAsia"/>
        </w:rPr>
        <w:t>Australian</w:t>
      </w:r>
      <w:r w:rsidR="007029FF">
        <w:rPr>
          <w:rFonts w:eastAsiaTheme="minorEastAsia"/>
        </w:rPr>
        <w:t xml:space="preserve"> </w:t>
      </w:r>
      <w:r w:rsidR="001F3211">
        <w:rPr>
          <w:rFonts w:eastAsiaTheme="minorEastAsia"/>
        </w:rPr>
        <w:t>Government</w:t>
      </w:r>
      <w:r w:rsidRPr="7B679C2B">
        <w:rPr>
          <w:rFonts w:eastAsiaTheme="minorEastAsia"/>
        </w:rPr>
        <w:t xml:space="preserve"> had agreed with PNG to temporarily suspend principal and interest repayments for the loan consistent with the Debt Service Suspension Initiative of G20</w:t>
      </w:r>
      <w:r w:rsidR="0023629A">
        <w:rPr>
          <w:rFonts w:eastAsiaTheme="minorEastAsia"/>
        </w:rPr>
        <w:t> </w:t>
      </w:r>
      <w:r w:rsidRPr="7B679C2B">
        <w:rPr>
          <w:rFonts w:eastAsiaTheme="minorEastAsia"/>
        </w:rPr>
        <w:t>nations to support low</w:t>
      </w:r>
      <w:r w:rsidR="00D737F9">
        <w:rPr>
          <w:rFonts w:eastAsiaTheme="minorEastAsia"/>
        </w:rPr>
        <w:noBreakHyphen/>
      </w:r>
      <w:r w:rsidRPr="7B679C2B">
        <w:rPr>
          <w:rFonts w:eastAsiaTheme="minorEastAsia"/>
        </w:rPr>
        <w:t>income nations during the COVID</w:t>
      </w:r>
      <w:r w:rsidR="00D737F9">
        <w:rPr>
          <w:rFonts w:eastAsiaTheme="minorEastAsia"/>
        </w:rPr>
        <w:noBreakHyphen/>
      </w:r>
      <w:r w:rsidRPr="7B679C2B">
        <w:rPr>
          <w:rFonts w:eastAsiaTheme="minorEastAsia"/>
        </w:rPr>
        <w:t>19 pandemic. This suspension has now ended.</w:t>
      </w:r>
    </w:p>
    <w:p w14:paraId="6CBA7E7D" w14:textId="77777777" w:rsidR="00780BBD" w:rsidRPr="00B832E0" w:rsidRDefault="00780BBD" w:rsidP="001078E4">
      <w:pPr>
        <w:pStyle w:val="Heading4"/>
        <w:rPr>
          <w:rFonts w:eastAsia="Arial"/>
          <w:b w:val="0"/>
        </w:rPr>
      </w:pPr>
      <w:r w:rsidRPr="00B832E0">
        <w:rPr>
          <w:rFonts w:eastAsia="Arial"/>
        </w:rPr>
        <w:t>2021 Loan Agreement between the Australian Government and the Government of Papua New Guinea</w:t>
      </w:r>
    </w:p>
    <w:p w14:paraId="49937686" w14:textId="2812042B" w:rsidR="00780BBD" w:rsidRPr="00B832E0" w:rsidRDefault="00780BBD" w:rsidP="007029FF">
      <w:r w:rsidRPr="00B832E0">
        <w:t>On 10</w:t>
      </w:r>
      <w:r w:rsidRPr="00B832E0">
        <w:rPr>
          <w:rFonts w:hint="eastAsia"/>
        </w:rPr>
        <w:t> </w:t>
      </w:r>
      <w:r w:rsidRPr="00B832E0">
        <w:t>December</w:t>
      </w:r>
      <w:r w:rsidRPr="00B832E0">
        <w:rPr>
          <w:rFonts w:hint="eastAsia"/>
        </w:rPr>
        <w:t> </w:t>
      </w:r>
      <w:r w:rsidRPr="00B832E0">
        <w:t>2021, the Australian Government entered into a loan agreement for A$650</w:t>
      </w:r>
      <w:r w:rsidRPr="00B832E0">
        <w:rPr>
          <w:rFonts w:hint="eastAsia"/>
        </w:rPr>
        <w:t> </w:t>
      </w:r>
      <w:r w:rsidRPr="00B832E0">
        <w:t>million in</w:t>
      </w:r>
      <w:r>
        <w:t> </w:t>
      </w:r>
      <w:r w:rsidRPr="00B832E0">
        <w:t>2021</w:t>
      </w:r>
      <w:r w:rsidRPr="00B832E0">
        <w:rPr>
          <w:rFonts w:hint="eastAsia"/>
        </w:rPr>
        <w:t>–</w:t>
      </w:r>
      <w:r w:rsidRPr="00B832E0">
        <w:t>22 to the Government of Papua</w:t>
      </w:r>
      <w:r w:rsidRPr="00B832E0">
        <w:rPr>
          <w:rFonts w:hint="eastAsia"/>
        </w:rPr>
        <w:t> </w:t>
      </w:r>
      <w:r w:rsidRPr="00B832E0">
        <w:t>New</w:t>
      </w:r>
      <w:r w:rsidRPr="00B832E0">
        <w:rPr>
          <w:rFonts w:hint="eastAsia"/>
        </w:rPr>
        <w:t> </w:t>
      </w:r>
      <w:r w:rsidRPr="00B832E0">
        <w:t>Guinea (PNG). The loan was provided in response to a request from the PNG Prime Minister for further support to enable the PNG Government to meet required expenditure in its</w:t>
      </w:r>
      <w:r>
        <w:t> </w:t>
      </w:r>
      <w:r w:rsidRPr="00B832E0">
        <w:t>2021</w:t>
      </w:r>
      <w:r>
        <w:t> </w:t>
      </w:r>
      <w:r w:rsidRPr="00B832E0">
        <w:t>Budget, including on the health and economic response to the COVID</w:t>
      </w:r>
      <w:r w:rsidR="00D737F9">
        <w:noBreakHyphen/>
      </w:r>
      <w:r w:rsidRPr="00B832E0">
        <w:t>19</w:t>
      </w:r>
      <w:r>
        <w:t> </w:t>
      </w:r>
      <w:r w:rsidRPr="00B832E0">
        <w:t>pandemic. The loan is also provided to help PNG continue progress on economic reforms under the second International Monetary Fund Staff</w:t>
      </w:r>
      <w:r w:rsidR="00D737F9">
        <w:noBreakHyphen/>
      </w:r>
      <w:r w:rsidRPr="00B832E0">
        <w:t>Monitored Program.</w:t>
      </w:r>
    </w:p>
    <w:p w14:paraId="3936C8EC" w14:textId="16264BF0" w:rsidR="00780BBD" w:rsidRPr="00BB17A3" w:rsidRDefault="00780BBD" w:rsidP="001078E4">
      <w:pPr>
        <w:pStyle w:val="Heading4"/>
        <w:rPr>
          <w:rFonts w:eastAsia="Arial"/>
        </w:rPr>
      </w:pPr>
      <w:r w:rsidRPr="00BB17A3">
        <w:rPr>
          <w:rFonts w:eastAsia="Arial"/>
        </w:rPr>
        <w:t>2022 Loan Agreement between the Australian Government and the Government of Papua New Guinea</w:t>
      </w:r>
    </w:p>
    <w:p w14:paraId="05C6E233" w14:textId="1673E646" w:rsidR="00780BBD" w:rsidRDefault="00780BBD" w:rsidP="00D737F9">
      <w:pPr>
        <w:rPr>
          <w:rFonts w:eastAsiaTheme="minorEastAsia"/>
          <w:lang w:val="en-US"/>
        </w:rPr>
      </w:pPr>
      <w:r w:rsidRPr="1809C9FA">
        <w:rPr>
          <w:rFonts w:eastAsiaTheme="minorEastAsia"/>
          <w:lang w:val="en-US"/>
        </w:rPr>
        <w:t>On 15</w:t>
      </w:r>
      <w:r w:rsidR="00D9795C">
        <w:rPr>
          <w:rFonts w:eastAsiaTheme="minorEastAsia"/>
          <w:lang w:val="en-US"/>
        </w:rPr>
        <w:t> December </w:t>
      </w:r>
      <w:r w:rsidRPr="1809C9FA">
        <w:rPr>
          <w:rFonts w:eastAsiaTheme="minorEastAsia"/>
          <w:lang w:val="en-US"/>
        </w:rPr>
        <w:t>2022, the Australian Government entered into a loan agreement for A$750 million in 2022–23 to the Government of Papua New Guinea (PNG). The loan was provided in response to a request from the PNG Treasurer for financial assistance to enable the PNG Government to meet required expenditure in its 2022 Budget and support the delivery of reform actions under multilateral development programs, including a new International Monetary Fund program established in 2023.</w:t>
      </w:r>
    </w:p>
    <w:p w14:paraId="39E0778C" w14:textId="090EF531" w:rsidR="00780BBD" w:rsidRPr="00DA3380" w:rsidRDefault="00780BBD" w:rsidP="001078E4">
      <w:pPr>
        <w:pStyle w:val="Heading4"/>
        <w:rPr>
          <w:rFonts w:eastAsia="Arial"/>
        </w:rPr>
      </w:pPr>
      <w:r w:rsidRPr="00DA3380">
        <w:rPr>
          <w:rFonts w:eastAsia="Arial"/>
        </w:rPr>
        <w:t>2023 Loan Agreement between the Australian Government and the Government of Papua New Guinea</w:t>
      </w:r>
    </w:p>
    <w:p w14:paraId="4B992579" w14:textId="712A30FF" w:rsidR="00A11F5D" w:rsidRPr="009D70F5" w:rsidRDefault="00780BBD" w:rsidP="009D70F5">
      <w:r w:rsidRPr="00DA3380">
        <w:rPr>
          <w:rFonts w:eastAsiaTheme="minorEastAsia"/>
          <w:lang w:val="en-US"/>
        </w:rPr>
        <w:t>On 8</w:t>
      </w:r>
      <w:r w:rsidR="00D9795C">
        <w:rPr>
          <w:rFonts w:eastAsiaTheme="minorEastAsia"/>
          <w:lang w:val="en-US"/>
        </w:rPr>
        <w:t> December </w:t>
      </w:r>
      <w:r w:rsidRPr="00DA3380">
        <w:rPr>
          <w:rFonts w:eastAsiaTheme="minorEastAsia"/>
          <w:lang w:val="en-US"/>
        </w:rPr>
        <w:t>2023, the Australian Government entered into a loan agreement for A$600</w:t>
      </w:r>
      <w:r>
        <w:rPr>
          <w:rFonts w:eastAsiaTheme="minorEastAsia"/>
          <w:lang w:val="en-US"/>
        </w:rPr>
        <w:t> </w:t>
      </w:r>
      <w:r w:rsidRPr="00DA3380">
        <w:rPr>
          <w:rFonts w:eastAsiaTheme="minorEastAsia"/>
          <w:lang w:val="en-US"/>
        </w:rPr>
        <w:t xml:space="preserve">million in 2023–24 to the Government of Papua New Guinea (PNG). The loan was provided in response to a request from the PNG Prime Minister, to support PNG to meet its estimated 2023 budget financing shortfall. The loan will also assist PNG in delivering economic reforms under the International Monetary Fund Extended Credit Facility and Extended Fund Facility Program. </w:t>
      </w:r>
    </w:p>
    <w:sectPr w:rsidR="00A11F5D" w:rsidRPr="009D70F5" w:rsidSect="007F4042">
      <w:headerReference w:type="even" r:id="rId30"/>
      <w:headerReference w:type="default" r:id="rId31"/>
      <w:footerReference w:type="even" r:id="rId32"/>
      <w:footerReference w:type="default" r:id="rId33"/>
      <w:headerReference w:type="first" r:id="rId34"/>
      <w:footerReference w:type="first" r:id="rId35"/>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DE3F" w14:textId="77777777" w:rsidR="00B00EDB" w:rsidRDefault="00B00EDB" w:rsidP="00E40261">
      <w:pPr>
        <w:spacing w:after="0" w:line="240" w:lineRule="auto"/>
      </w:pPr>
      <w:r>
        <w:separator/>
      </w:r>
    </w:p>
  </w:endnote>
  <w:endnote w:type="continuationSeparator" w:id="0">
    <w:p w14:paraId="474344BC" w14:textId="77777777" w:rsidR="00B00EDB" w:rsidRDefault="00B00EDB" w:rsidP="00E40261">
      <w:pPr>
        <w:spacing w:after="0" w:line="240" w:lineRule="auto"/>
      </w:pPr>
      <w:r>
        <w:continuationSeparator/>
      </w:r>
    </w:p>
  </w:endnote>
  <w:endnote w:type="continuationNotice" w:id="1">
    <w:p w14:paraId="683DC9C2" w14:textId="77777777" w:rsidR="00B00EDB" w:rsidRDefault="00B00E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341B" w14:textId="7369B85E" w:rsidR="009D70F5" w:rsidRPr="00EF4138" w:rsidRDefault="00E979BB" w:rsidP="00042053">
    <w:pPr>
      <w:pStyle w:val="FooterOdd"/>
    </w:pPr>
    <w:r>
      <w:fldChar w:fldCharType="begin"/>
    </w:r>
    <w:r>
      <w:instrText>SUBJECT   \* MERGEFORMAT</w:instrText>
    </w:r>
    <w:r>
      <w:fldChar w:fldCharType="separate"/>
    </w:r>
    <w:r w:rsidR="00ED5ABD">
      <w:t>Statement 9: Statement of Risks</w:t>
    </w:r>
    <w:r>
      <w:fldChar w:fldCharType="end"/>
    </w:r>
    <w:r w:rsidR="009D70F5" w:rsidRPr="00B3705D">
      <w:t xml:space="preserve">  |  </w:t>
    </w:r>
    <w:r w:rsidR="009D70F5" w:rsidRPr="00B3705D">
      <w:rPr>
        <w:b/>
        <w:bCs/>
      </w:rPr>
      <w:t xml:space="preserve">Page </w:t>
    </w:r>
    <w:r w:rsidR="009D70F5" w:rsidRPr="00B3705D">
      <w:rPr>
        <w:b/>
        <w:bCs/>
      </w:rPr>
      <w:fldChar w:fldCharType="begin"/>
    </w:r>
    <w:r w:rsidR="009D70F5" w:rsidRPr="00B3705D">
      <w:rPr>
        <w:b/>
        <w:bCs/>
      </w:rPr>
      <w:instrText xml:space="preserve"> PAGE  \* Arabic  \* MERGEFORMAT </w:instrText>
    </w:r>
    <w:r w:rsidR="009D70F5" w:rsidRPr="00B3705D">
      <w:rPr>
        <w:b/>
        <w:bCs/>
      </w:rPr>
      <w:fldChar w:fldCharType="separate"/>
    </w:r>
    <w:r w:rsidR="009D70F5">
      <w:rPr>
        <w:b/>
        <w:bCs/>
      </w:rPr>
      <w:t>1</w:t>
    </w:r>
    <w:r w:rsidR="009D70F5" w:rsidRPr="00B3705D">
      <w:rPr>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F715" w14:textId="6EEA2789" w:rsidR="00FB5DDD" w:rsidRDefault="00E979BB" w:rsidP="002A6A16">
    <w:pPr>
      <w:pStyle w:val="FooterOdd"/>
    </w:pPr>
    <w:r>
      <w:fldChar w:fldCharType="begin"/>
    </w:r>
    <w:r>
      <w:instrText xml:space="preserve"> SUBJECT   \* MERGEFORMAT </w:instrText>
    </w:r>
    <w:r>
      <w:fldChar w:fldCharType="separate"/>
    </w:r>
    <w:r w:rsidR="00ED5ABD">
      <w:t>Statement 9: Statement of Risks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97C56" w14:textId="20218099" w:rsidR="00FB5DDD" w:rsidRDefault="00E979BB" w:rsidP="00360947">
    <w:pPr>
      <w:pStyle w:val="FooterOdd"/>
    </w:pPr>
    <w:r>
      <w:fldChar w:fldCharType="begin"/>
    </w:r>
    <w:r>
      <w:instrText xml:space="preserve"> SUBJECT   \* MERGEFORMAT </w:instrText>
    </w:r>
    <w:r>
      <w:fldChar w:fldCharType="separate"/>
    </w:r>
    <w:r w:rsidR="00ED5ABD">
      <w:t>Statement 9: Statement of Risks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157B" w14:textId="6A7F3657" w:rsidR="009D70F5" w:rsidRDefault="00E979BB" w:rsidP="00042053">
    <w:pPr>
      <w:pStyle w:val="FooterOdd"/>
      <w:rPr>
        <w:b/>
        <w:bCs/>
      </w:rPr>
    </w:pPr>
    <w:r>
      <w:fldChar w:fldCharType="begin"/>
    </w:r>
    <w:r>
      <w:instrText>SUBJECT   \* MERGEFORMAT</w:instrText>
    </w:r>
    <w:r>
      <w:fldChar w:fldCharType="separate"/>
    </w:r>
    <w:r w:rsidR="00ED5ABD">
      <w:t>Statement 9: Statement of Risks</w:t>
    </w:r>
    <w:r>
      <w:fldChar w:fldCharType="end"/>
    </w:r>
    <w:r w:rsidR="009D70F5" w:rsidRPr="00B3705D">
      <w:t xml:space="preserve">  |  </w:t>
    </w:r>
    <w:r w:rsidR="009D70F5" w:rsidRPr="00B3705D">
      <w:rPr>
        <w:b/>
        <w:bCs/>
      </w:rPr>
      <w:t xml:space="preserve">Page </w:t>
    </w:r>
    <w:r w:rsidR="009D70F5" w:rsidRPr="00B3705D">
      <w:rPr>
        <w:b/>
        <w:bCs/>
      </w:rPr>
      <w:fldChar w:fldCharType="begin"/>
    </w:r>
    <w:r w:rsidR="009D70F5" w:rsidRPr="00B3705D">
      <w:rPr>
        <w:b/>
        <w:bCs/>
      </w:rPr>
      <w:instrText xml:space="preserve"> PAGE  \* Arabic  \* MERGEFORMAT </w:instrText>
    </w:r>
    <w:r w:rsidR="009D70F5" w:rsidRPr="00B3705D">
      <w:rPr>
        <w:b/>
        <w:bCs/>
      </w:rPr>
      <w:fldChar w:fldCharType="separate"/>
    </w:r>
    <w:r w:rsidR="009D70F5">
      <w:rPr>
        <w:b/>
        <w:bCs/>
      </w:rPr>
      <w:t>1</w:t>
    </w:r>
    <w:r w:rsidR="009D70F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B706" w14:textId="2340A72D" w:rsidR="009D70F5" w:rsidRDefault="009D70F5" w:rsidP="0004205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E979BB">
      <w:fldChar w:fldCharType="begin"/>
    </w:r>
    <w:r w:rsidR="00E979BB">
      <w:instrText xml:space="preserve"> SUBJECT   \* MERGEFORMAT </w:instrText>
    </w:r>
    <w:r w:rsidR="00E979BB">
      <w:fldChar w:fldCharType="separate"/>
    </w:r>
    <w:r w:rsidR="00ED5ABD">
      <w:t>Statement 9: Statement of Risks</w:t>
    </w:r>
    <w:r w:rsidR="00E979B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B690" w14:textId="58526254" w:rsidR="009D70F5" w:rsidRDefault="00E979BB" w:rsidP="00042053">
    <w:pPr>
      <w:pStyle w:val="FooterOdd"/>
      <w:rPr>
        <w:b/>
        <w:bCs/>
      </w:rPr>
    </w:pPr>
    <w:r>
      <w:fldChar w:fldCharType="begin"/>
    </w:r>
    <w:r>
      <w:instrText>SUBJECT   \* MERGEFORMAT</w:instrText>
    </w:r>
    <w:r>
      <w:fldChar w:fldCharType="separate"/>
    </w:r>
    <w:r w:rsidR="00ED5ABD">
      <w:t>Statement 9: Statement of Risks</w:t>
    </w:r>
    <w:r>
      <w:fldChar w:fldCharType="end"/>
    </w:r>
    <w:r w:rsidR="009D70F5" w:rsidRPr="00B3705D">
      <w:t xml:space="preserve">  |  </w:t>
    </w:r>
    <w:r w:rsidR="009D70F5" w:rsidRPr="00B3705D">
      <w:rPr>
        <w:b/>
        <w:bCs/>
      </w:rPr>
      <w:t xml:space="preserve">Page </w:t>
    </w:r>
    <w:r w:rsidR="009D70F5" w:rsidRPr="00B3705D">
      <w:rPr>
        <w:b/>
        <w:bCs/>
      </w:rPr>
      <w:fldChar w:fldCharType="begin"/>
    </w:r>
    <w:r w:rsidR="009D70F5" w:rsidRPr="00B3705D">
      <w:rPr>
        <w:b/>
        <w:bCs/>
      </w:rPr>
      <w:instrText xml:space="preserve"> PAGE  \* Arabic  \* MERGEFORMAT </w:instrText>
    </w:r>
    <w:r w:rsidR="009D70F5" w:rsidRPr="00B3705D">
      <w:rPr>
        <w:b/>
        <w:bCs/>
      </w:rPr>
      <w:fldChar w:fldCharType="separate"/>
    </w:r>
    <w:r w:rsidR="009D70F5">
      <w:rPr>
        <w:b/>
        <w:bCs/>
      </w:rPr>
      <w:t>1</w:t>
    </w:r>
    <w:r w:rsidR="009D70F5"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82EA" w14:textId="70EAB39D" w:rsidR="009D70F5" w:rsidRDefault="00E979BB" w:rsidP="00042053">
    <w:pPr>
      <w:pStyle w:val="FooterOdd"/>
      <w:rPr>
        <w:b/>
        <w:bCs/>
      </w:rPr>
    </w:pPr>
    <w:r>
      <w:fldChar w:fldCharType="begin"/>
    </w:r>
    <w:r>
      <w:instrText>SUBJECT   \* MERGEFORMAT</w:instrText>
    </w:r>
    <w:r>
      <w:fldChar w:fldCharType="separate"/>
    </w:r>
    <w:r w:rsidR="00ED5ABD">
      <w:t>Statement 9: Statement of Risks</w:t>
    </w:r>
    <w:r>
      <w:fldChar w:fldCharType="end"/>
    </w:r>
    <w:r w:rsidR="009D70F5" w:rsidRPr="00B3705D">
      <w:t xml:space="preserve">  |  </w:t>
    </w:r>
    <w:r w:rsidR="009D70F5" w:rsidRPr="00B3705D">
      <w:rPr>
        <w:b/>
        <w:bCs/>
      </w:rPr>
      <w:t xml:space="preserve">Page </w:t>
    </w:r>
    <w:r w:rsidR="009D70F5" w:rsidRPr="00B3705D">
      <w:rPr>
        <w:b/>
        <w:bCs/>
      </w:rPr>
      <w:fldChar w:fldCharType="begin"/>
    </w:r>
    <w:r w:rsidR="009D70F5" w:rsidRPr="00B3705D">
      <w:rPr>
        <w:b/>
        <w:bCs/>
      </w:rPr>
      <w:instrText xml:space="preserve"> PAGE  \* Arabic  \* MERGEFORMAT </w:instrText>
    </w:r>
    <w:r w:rsidR="009D70F5" w:rsidRPr="00B3705D">
      <w:rPr>
        <w:b/>
        <w:bCs/>
      </w:rPr>
      <w:fldChar w:fldCharType="separate"/>
    </w:r>
    <w:r w:rsidR="009D70F5">
      <w:rPr>
        <w:b/>
        <w:bCs/>
      </w:rPr>
      <w:t>1</w:t>
    </w:r>
    <w:r w:rsidR="009D70F5"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702B" w14:textId="77777777" w:rsidR="009D70F5" w:rsidRPr="00A240DA" w:rsidRDefault="009D70F5" w:rsidP="00042053">
    <w:pPr>
      <w:pStyle w:val="Footer"/>
    </w:pPr>
    <w:r w:rsidRPr="005E792C">
      <w:rPr>
        <w:noProof/>
        <w:sz w:val="2"/>
        <w:szCs w:val="2"/>
      </w:rPr>
      <mc:AlternateContent>
        <mc:Choice Requires="wps">
          <w:drawing>
            <wp:anchor distT="0" distB="0" distL="114300" distR="114300" simplePos="0" relativeHeight="251658257" behindDoc="0" locked="0" layoutInCell="1" allowOverlap="1" wp14:anchorId="3AB53EAB" wp14:editId="56320893">
              <wp:simplePos x="0" y="0"/>
              <wp:positionH relativeFrom="column">
                <wp:posOffset>-541020</wp:posOffset>
              </wp:positionH>
              <wp:positionV relativeFrom="margin">
                <wp:align>top</wp:align>
              </wp:positionV>
              <wp:extent cx="399600" cy="4896000"/>
              <wp:effectExtent l="0" t="0" r="635" b="0"/>
              <wp:wrapNone/>
              <wp:docPr id="127" name="Text Box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6AFA2A7" w14:textId="77777777" w:rsidR="009D70F5" w:rsidRDefault="009D70F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Pr="00341168">
                            <w:t>Statement 9: Statement of Risks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AB53EAB" id="_x0000_t202" coordsize="21600,21600" o:spt="202" path="m,l,21600r21600,l21600,xe">
              <v:stroke joinstyle="miter"/>
              <v:path gradientshapeok="t" o:connecttype="rect"/>
            </v:shapetype>
            <v:shape id="Text Box 127" o:spid="_x0000_s1071" type="#_x0000_t202" alt="&quot;&quot;" style="position:absolute;left:0;text-align:left;margin-left:-42.6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KAZZsMLAgAA&#10;+gMAAA4AAAAAAAAAAAAAAAAALgIAAGRycy9lMm9Eb2MueG1sUEsBAi0AFAAGAAgAAAAhAMl+Tiff&#10;AAAACAEAAA8AAAAAAAAAAAAAAAAAZQQAAGRycy9kb3ducmV2LnhtbFBLBQYAAAAABAAEAPMAAABx&#10;BQAAAAA=&#10;" stroked="f">
              <v:textbox style="layout-flow:vertical" inset="0,0,0,0">
                <w:txbxContent>
                  <w:p w14:paraId="06AFA2A7" w14:textId="77777777" w:rsidR="009D70F5" w:rsidRDefault="009D70F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Pr="00341168">
                      <w:t>Statement 9: Statement of Risks</w:t>
                    </w: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56" behindDoc="0" locked="0" layoutInCell="1" allowOverlap="1" wp14:anchorId="587FE32A" wp14:editId="3D3AB473">
              <wp:simplePos x="0" y="0"/>
              <wp:positionH relativeFrom="column">
                <wp:posOffset>-541020</wp:posOffset>
              </wp:positionH>
              <wp:positionV relativeFrom="margin">
                <wp:align>top</wp:align>
              </wp:positionV>
              <wp:extent cx="399600" cy="4896000"/>
              <wp:effectExtent l="0" t="0" r="635" b="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792FBC1" w14:textId="5EA0BC16" w:rsidR="009D70F5" w:rsidRDefault="009D70F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E979BB">
                            <w:fldChar w:fldCharType="begin"/>
                          </w:r>
                          <w:r w:rsidR="00E979BB">
                            <w:instrText>SUBJECT   \* MERGEFORMAT</w:instrText>
                          </w:r>
                          <w:r w:rsidR="00E979BB">
                            <w:fldChar w:fldCharType="separate"/>
                          </w:r>
                          <w:r w:rsidR="00ED5ABD">
                            <w:t>Statement 9: Statement of Risks</w:t>
                          </w:r>
                          <w:r w:rsidR="00E979BB">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87FE32A" id="_x0000_t202" coordsize="21600,21600" o:spt="202" path="m,l,21600r21600,l21600,xe">
              <v:stroke joinstyle="miter"/>
              <v:path gradientshapeok="t" o:connecttype="rect"/>
            </v:shapetype>
            <v:shape id="Text Box 6" o:spid="_x0000_s1072" type="#_x0000_t202" alt="&quot;&quot;" style="position:absolute;left:0;text-align:left;margin-left:-42.6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HUOmT0LAgAA&#10;+gMAAA4AAAAAAAAAAAAAAAAALgIAAGRycy9lMm9Eb2MueG1sUEsBAi0AFAAGAAgAAAAhAMl+Tiff&#10;AAAACAEAAA8AAAAAAAAAAAAAAAAAZQQAAGRycy9kb3ducmV2LnhtbFBLBQYAAAAABAAEAPMAAABx&#10;BQAAAAA=&#10;" stroked="f">
              <v:textbox style="layout-flow:vertical" inset="0,0,0,0">
                <w:txbxContent>
                  <w:p w14:paraId="5792FBC1" w14:textId="5EA0BC16" w:rsidR="009D70F5" w:rsidRDefault="009D70F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SUBJECT   \* MERGEFORMAT">
                      <w:r w:rsidR="00ED5ABD">
                        <w:t>Statement 9: Statement of Risks</w:t>
                      </w:r>
                    </w:fldSimple>
                  </w:p>
                </w:txbxContent>
              </v:textbox>
              <w10:wrap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714C" w14:textId="77777777" w:rsidR="009D70F5" w:rsidRPr="00831317" w:rsidRDefault="009D70F5" w:rsidP="0083131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32D0" w14:textId="77777777" w:rsidR="009D70F5" w:rsidRPr="00A240DA" w:rsidRDefault="009D70F5" w:rsidP="00042053">
    <w:pPr>
      <w:pStyle w:val="Footer"/>
    </w:pPr>
    <w:r>
      <w:rPr>
        <w:noProof/>
      </w:rPr>
      <mc:AlternateContent>
        <mc:Choice Requires="wps">
          <w:drawing>
            <wp:anchor distT="0" distB="0" distL="114300" distR="114300" simplePos="0" relativeHeight="251658282" behindDoc="0" locked="1" layoutInCell="0" allowOverlap="1" wp14:anchorId="08C60DB7" wp14:editId="3108ED90">
              <wp:simplePos x="0" y="0"/>
              <wp:positionH relativeFrom="margin">
                <wp:align>center</wp:align>
              </wp:positionH>
              <wp:positionV relativeFrom="bottomMargin">
                <wp:align>center</wp:align>
              </wp:positionV>
              <wp:extent cx="1891665" cy="250190"/>
              <wp:effectExtent l="0" t="0" r="0" b="0"/>
              <wp:wrapNone/>
              <wp:docPr id="89" name="Text Box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698F8A" w14:textId="32E4A605" w:rsidR="009D70F5" w:rsidRPr="00BC29FE" w:rsidRDefault="009D70F5" w:rsidP="00042053">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ED5ABD">
                            <w:rPr>
                              <w:rFonts w:ascii="Arial" w:hAnsi="Arial" w:cs="Arial"/>
                              <w:b/>
                              <w:color w:val="FF0000"/>
                              <w:sz w:val="24"/>
                            </w:rPr>
                            <w:t>OFFICIAL</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08C60DB7" id="_x0000_t202" coordsize="21600,21600" o:spt="202" path="m,l,21600r21600,l21600,xe">
              <v:stroke joinstyle="miter"/>
              <v:path gradientshapeok="t" o:connecttype="rect"/>
            </v:shapetype>
            <v:shape id="Text Box 89" o:spid="_x0000_s1078" type="#_x0000_t202" alt="&quot;&quot;" style="position:absolute;left:0;text-align:left;margin-left:0;margin-top:0;width:148.95pt;height:19.7pt;z-index:25165828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5h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eF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jFNOYRkCAAAyBAAADgAAAAAAAAAAAAAAAAAuAgAAZHJzL2Uyb0RvYy54bWxQSwECLQAUAAYA&#10;CAAAACEAPgQLl9wAAAAEAQAADwAAAAAAAAAAAAAAAABzBAAAZHJzL2Rvd25yZXYueG1sUEsFBgAA&#10;AAAEAAQA8wAAAHwFAAAAAA==&#10;" o:allowincell="f" filled="f" stroked="f" strokeweight=".5pt">
              <v:textbox style="mso-fit-shape-to-text:t">
                <w:txbxContent>
                  <w:p w14:paraId="78698F8A" w14:textId="32E4A605" w:rsidR="009D70F5" w:rsidRPr="00BC29FE" w:rsidRDefault="009D70F5" w:rsidP="00042053">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PM_ProtectiveMarkingValue_Footer \* MERGEFORMAT </w:instrText>
                    </w:r>
                    <w:r w:rsidRPr="00BC29FE">
                      <w:rPr>
                        <w:rFonts w:ascii="Arial" w:hAnsi="Arial" w:cs="Arial"/>
                        <w:b/>
                        <w:color w:val="FF0000"/>
                        <w:sz w:val="24"/>
                      </w:rPr>
                      <w:fldChar w:fldCharType="separate"/>
                    </w:r>
                    <w:r w:rsidR="00ED5ABD">
                      <w:rPr>
                        <w:rFonts w:ascii="Arial" w:hAnsi="Arial" w:cs="Arial"/>
                        <w:b/>
                        <w:color w:val="FF0000"/>
                        <w:sz w:val="24"/>
                      </w:rPr>
                      <w:t>OFFICIAL</w:t>
                    </w:r>
                    <w:r w:rsidRPr="00BC29FE">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9" behindDoc="0" locked="1" layoutInCell="0" allowOverlap="1" wp14:anchorId="3E8E7D1D" wp14:editId="7B62862B">
              <wp:simplePos x="0" y="0"/>
              <wp:positionH relativeFrom="margin">
                <wp:align>center</wp:align>
              </wp:positionH>
              <wp:positionV relativeFrom="bottomMargin">
                <wp:align>center</wp:align>
              </wp:positionV>
              <wp:extent cx="1891665" cy="250190"/>
              <wp:effectExtent l="0" t="0" r="0" b="0"/>
              <wp:wrapNone/>
              <wp:docPr id="506" name="Text Box 5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C3903C" w14:textId="08C1D24E"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E8E7D1D" id="Text Box 506" o:spid="_x0000_s1079" type="#_x0000_t202" alt="&quot;&quot;" style="position:absolute;left:0;text-align:left;margin-left:0;margin-top:0;width:148.95pt;height:19.7pt;z-index:251658279;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qn9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3R8d1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sPap/RkCAAAyBAAADgAAAAAAAAAAAAAAAAAuAgAAZHJzL2Uyb0RvYy54bWxQSwECLQAUAAYA&#10;CAAAACEAPgQLl9wAAAAEAQAADwAAAAAAAAAAAAAAAABzBAAAZHJzL2Rvd25yZXYueG1sUEsFBgAA&#10;AAAEAAQA8wAAAHwFAAAAAA==&#10;" o:allowincell="f" filled="f" stroked="f" strokeweight=".5pt">
              <v:textbox style="mso-fit-shape-to-text:t">
                <w:txbxContent>
                  <w:p w14:paraId="20C3903C" w14:textId="08C1D24E"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PM_ProtectiveMarkingValue_Footer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5" behindDoc="0" locked="1" layoutInCell="0" allowOverlap="1" wp14:anchorId="0DC20826" wp14:editId="67BF5C44">
              <wp:simplePos x="0" y="0"/>
              <wp:positionH relativeFrom="margin">
                <wp:align>center</wp:align>
              </wp:positionH>
              <wp:positionV relativeFrom="bottomMargin">
                <wp:align>center</wp:align>
              </wp:positionV>
              <wp:extent cx="1891665" cy="250190"/>
              <wp:effectExtent l="0" t="0" r="0" b="0"/>
              <wp:wrapNone/>
              <wp:docPr id="477" name="Text Box 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81A4EB" w14:textId="0EADAE90"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DC20826" id="Text Box 477" o:spid="_x0000_s1080" type="#_x0000_t202" alt="&quot;&quot;" style="position:absolute;left:0;text-align:left;margin-left:0;margin-top:0;width:148.95pt;height:19.7pt;z-index:251658275;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2d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dF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hoH9nRkCAAAyBAAADgAAAAAAAAAAAAAAAAAuAgAAZHJzL2Uyb0RvYy54bWxQSwECLQAUAAYA&#10;CAAAACEAPgQLl9wAAAAEAQAADwAAAAAAAAAAAAAAAABzBAAAZHJzL2Rvd25yZXYueG1sUEsFBgAA&#10;AAAEAAQA8wAAAHwFAAAAAA==&#10;" o:allowincell="f" filled="f" stroked="f" strokeweight=".5pt">
              <v:textbox style="mso-fit-shape-to-text:t">
                <w:txbxContent>
                  <w:p w14:paraId="3881A4EB" w14:textId="0EADAE90"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PM_ProtectiveMarkingValue_Footer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1" behindDoc="0" locked="1" layoutInCell="0" allowOverlap="1" wp14:anchorId="33437AF7" wp14:editId="3ED11C8A">
              <wp:simplePos x="0" y="0"/>
              <wp:positionH relativeFrom="margin">
                <wp:align>center</wp:align>
              </wp:positionH>
              <wp:positionV relativeFrom="bottomMargin">
                <wp:align>center</wp:align>
              </wp:positionV>
              <wp:extent cx="1891665" cy="250190"/>
              <wp:effectExtent l="0" t="0" r="0" b="0"/>
              <wp:wrapNone/>
              <wp:docPr id="451" name="Text Box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67564A" w14:textId="77777777" w:rsidR="005A10F4" w:rsidRDefault="005A10F4" w:rsidP="00042053">
                          <w:pPr>
                            <w:spacing w:before="0" w:after="0"/>
                            <w:jc w:val="center"/>
                            <w:rPr>
                              <w:rFonts w:ascii="Arial" w:hAnsi="Arial" w:cs="Arial"/>
                              <w:b/>
                              <w:color w:val="FF0000"/>
                              <w:sz w:val="24"/>
                            </w:rPr>
                          </w:pPr>
                        </w:p>
                        <w:p w14:paraId="0AB5DF69" w14:textId="380E94F1"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3437AF7" id="Text Box 451" o:spid="_x0000_s1081" type="#_x0000_t202" alt="&quot;&quot;" style="position:absolute;left:0;text-align:left;margin-left:0;margin-top:0;width:148.95pt;height:19.7pt;z-index:251658271;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LokGgEaAgAAMgQAAA4AAAAAAAAAAAAAAAAALgIAAGRycy9lMm9Eb2MueG1sUEsBAi0AFAAG&#10;AAgAAAAhAD4EC5fcAAAABAEAAA8AAAAAAAAAAAAAAAAAdAQAAGRycy9kb3ducmV2LnhtbFBLBQYA&#10;AAAABAAEAPMAAAB9BQAAAAA=&#10;" o:allowincell="f" filled="f" stroked="f" strokeweight=".5pt">
              <v:textbox style="mso-fit-shape-to-text:t">
                <w:txbxContent>
                  <w:p w14:paraId="6667564A" w14:textId="77777777" w:rsidR="005A10F4" w:rsidRDefault="005A10F4" w:rsidP="00042053">
                    <w:pPr>
                      <w:spacing w:before="0" w:after="0"/>
                      <w:jc w:val="center"/>
                      <w:rPr>
                        <w:rFonts w:ascii="Arial" w:hAnsi="Arial" w:cs="Arial"/>
                        <w:b/>
                        <w:color w:val="FF0000"/>
                        <w:sz w:val="24"/>
                      </w:rPr>
                    </w:pPr>
                  </w:p>
                  <w:p w14:paraId="0AB5DF69" w14:textId="380E94F1"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PM_ProtectiveMarkingValue_Footer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67" behindDoc="0" locked="1" layoutInCell="0" allowOverlap="1" wp14:anchorId="7740A68E" wp14:editId="0642A048">
              <wp:simplePos x="0" y="0"/>
              <wp:positionH relativeFrom="margin">
                <wp:align>center</wp:align>
              </wp:positionH>
              <wp:positionV relativeFrom="bottomMargin">
                <wp:align>center</wp:align>
              </wp:positionV>
              <wp:extent cx="1891665" cy="250190"/>
              <wp:effectExtent l="0" t="0" r="0" b="0"/>
              <wp:wrapNone/>
              <wp:docPr id="34"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56BB76" w14:textId="2274B818"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740A68E" id="Text Box 34" o:spid="_x0000_s1082" type="#_x0000_t202" alt="&quot;&quot;" style="position:absolute;left:0;text-align:left;margin-left:0;margin-top:0;width:148.95pt;height:19.7pt;z-index:251658267;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4cl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v81DfxkCAAAyBAAADgAAAAAAAAAAAAAAAAAuAgAAZHJzL2Uyb0RvYy54bWxQSwECLQAUAAYA&#10;CAAAACEAPgQLl9wAAAAEAQAADwAAAAAAAAAAAAAAAABzBAAAZHJzL2Rvd25yZXYueG1sUEsFBgAA&#10;AAAEAAQA8wAAAHwFAAAAAA==&#10;" o:allowincell="f" filled="f" stroked="f" strokeweight=".5pt">
              <v:textbox style="mso-fit-shape-to-text:t">
                <w:txbxContent>
                  <w:p w14:paraId="3B56BB76" w14:textId="2274B818"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PM_ProtectiveMarkingValue_Footer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55" behindDoc="0" locked="0" layoutInCell="1" allowOverlap="1" wp14:anchorId="450BA606" wp14:editId="6AED1309">
              <wp:simplePos x="0" y="0"/>
              <wp:positionH relativeFrom="leftMargin">
                <wp:posOffset>0</wp:posOffset>
              </wp:positionH>
              <wp:positionV relativeFrom="page">
                <wp:posOffset>1324708</wp:posOffset>
              </wp:positionV>
              <wp:extent cx="943200" cy="4865077"/>
              <wp:effectExtent l="0" t="0" r="9525" b="0"/>
              <wp:wrapNone/>
              <wp:docPr id="117" name="Text Box 117"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A6DB9" w14:textId="71C3C21D" w:rsidR="009D70F5" w:rsidRDefault="00E979BB">
                          <w:pPr>
                            <w:pStyle w:val="Footer"/>
                            <w:tabs>
                              <w:tab w:val="right" w:pos="7711"/>
                            </w:tabs>
                          </w:pPr>
                          <w:r>
                            <w:fldChar w:fldCharType="begin"/>
                          </w:r>
                          <w:r>
                            <w:instrText>FILENAME  \* MERGEFORMAT</w:instrText>
                          </w:r>
                          <w:r>
                            <w:fldChar w:fldCharType="separate"/>
                          </w:r>
                          <w:r w:rsidR="00ED5ABD">
                            <w:rPr>
                              <w:noProof/>
                            </w:rPr>
                            <w:t>09_BP1_BS9.docx</w:t>
                          </w:r>
                          <w:r>
                            <w:rPr>
                              <w:noProof/>
                            </w:rPr>
                            <w:fldChar w:fldCharType="end"/>
                          </w:r>
                          <w:r w:rsidR="009D70F5">
                            <w:tab/>
                            <w:t xml:space="preserve">Printed:  </w:t>
                          </w:r>
                          <w:r w:rsidR="009D70F5">
                            <w:fldChar w:fldCharType="begin"/>
                          </w:r>
                          <w:r w:rsidR="009D70F5">
                            <w:instrText xml:space="preserve"> PRINTDATE \@ "d/MM/yy HH:mm:ss" \* MERGEFORMAT </w:instrText>
                          </w:r>
                          <w:r w:rsidR="009D70F5">
                            <w:fldChar w:fldCharType="separate"/>
                          </w:r>
                          <w:r w:rsidR="00ED5ABD">
                            <w:rPr>
                              <w:noProof/>
                            </w:rPr>
                            <w:t>12/05/24 11:31:00</w:t>
                          </w:r>
                          <w:r w:rsidR="009D70F5">
                            <w:rPr>
                              <w:noProof/>
                            </w:rPr>
                            <w:fldChar w:fldCharType="end"/>
                          </w:r>
                        </w:p>
                        <w:p w14:paraId="70D00814" w14:textId="77777777" w:rsidR="009D70F5" w:rsidRPr="00137C7E" w:rsidRDefault="009D70F5">
                          <w:pPr>
                            <w:rPr>
                              <w:rStyle w:val="EndnoteReference"/>
                              <w:i/>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50BA606" id="Text Box 117" o:spid="_x0000_s1083" type="#_x0000_t202" alt="Landscape Classification Footer" style="position:absolute;left:0;text-align:left;margin-left:0;margin-top:104.3pt;width:74.25pt;height:383.1pt;z-index:25165825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Q/PqOfYBAADSAwAADgAAAAAAAAAAAAAAAAAuAgAA&#10;ZHJzL2Uyb0RvYy54bWxQSwECLQAUAAYACAAAACEAIm2uHt4AAAAIAQAADwAAAAAAAAAAAAAAAABQ&#10;BAAAZHJzL2Rvd25yZXYueG1sUEsFBgAAAAAEAAQA8wAAAFsFAAAAAA==&#10;" stroked="f">
              <v:textbox style="layout-flow:vertical">
                <w:txbxContent>
                  <w:p w14:paraId="217A6DB9" w14:textId="71C3C21D" w:rsidR="009D70F5" w:rsidRDefault="00E33F7C">
                    <w:pPr>
                      <w:pStyle w:val="Footer"/>
                      <w:tabs>
                        <w:tab w:val="right" w:pos="7711"/>
                      </w:tabs>
                    </w:pPr>
                    <w:fldSimple w:instr="FILENAME  \* MERGEFORMAT">
                      <w:r w:rsidR="00ED5ABD">
                        <w:rPr>
                          <w:noProof/>
                        </w:rPr>
                        <w:t>09_BP1_BS9.docx</w:t>
                      </w:r>
                    </w:fldSimple>
                    <w:r w:rsidR="009D70F5">
                      <w:tab/>
                      <w:t xml:space="preserve">Printed:  </w:t>
                    </w:r>
                    <w:r w:rsidR="009D70F5">
                      <w:fldChar w:fldCharType="begin"/>
                    </w:r>
                    <w:r w:rsidR="009D70F5">
                      <w:instrText xml:space="preserve"> PRINTDATE \@ "d/MM/yy HH:mm:ss" \* MERGEFORMAT </w:instrText>
                    </w:r>
                    <w:r w:rsidR="009D70F5">
                      <w:fldChar w:fldCharType="separate"/>
                    </w:r>
                    <w:r w:rsidR="00ED5ABD">
                      <w:rPr>
                        <w:noProof/>
                      </w:rPr>
                      <w:t>12/05/24 11:31:00</w:t>
                    </w:r>
                    <w:r w:rsidR="009D70F5">
                      <w:rPr>
                        <w:noProof/>
                      </w:rPr>
                      <w:fldChar w:fldCharType="end"/>
                    </w:r>
                  </w:p>
                  <w:p w14:paraId="70D00814" w14:textId="77777777" w:rsidR="009D70F5" w:rsidRPr="00137C7E" w:rsidRDefault="009D70F5">
                    <w:pPr>
                      <w:rPr>
                        <w:rStyle w:val="EndnoteReference"/>
                        <w:i/>
                      </w:rPr>
                    </w:pPr>
                    <w:r>
                      <w:t xml:space="preserve">: </w:t>
                    </w:r>
                    <w:r>
                      <w:br/>
                      <w:t>Sensitive: Cabinet</w:t>
                    </w:r>
                  </w:p>
                </w:txbxContent>
              </v:textbox>
              <w10:wrap anchorx="margin"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7B4D" w14:textId="5EC76C26"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E979BB">
      <w:fldChar w:fldCharType="begin"/>
    </w:r>
    <w:r w:rsidR="00E979BB">
      <w:instrText xml:space="preserve"> SUBJECT   \* MERGEFORMAT </w:instrText>
    </w:r>
    <w:r w:rsidR="00E979BB">
      <w:fldChar w:fldCharType="separate"/>
    </w:r>
    <w:r w:rsidR="00ED5ABD">
      <w:t>Statement 9: Statement of Risks</w:t>
    </w:r>
    <w:r w:rsidR="00E979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4A847" w14:textId="77777777" w:rsidR="00B00EDB" w:rsidRPr="003C1CA4" w:rsidRDefault="00B00ED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EA9E9FB" w14:textId="77777777" w:rsidR="00B00EDB" w:rsidRDefault="00B00EDB" w:rsidP="00E40261">
      <w:pPr>
        <w:spacing w:after="0" w:line="240" w:lineRule="auto"/>
      </w:pPr>
      <w:r>
        <w:continuationSeparator/>
      </w:r>
    </w:p>
  </w:footnote>
  <w:footnote w:type="continuationNotice" w:id="1">
    <w:p w14:paraId="3AF1C505" w14:textId="77777777" w:rsidR="00B00EDB" w:rsidRDefault="00B00ED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DC10" w14:textId="03069B8D" w:rsidR="00402365" w:rsidRDefault="009D70F5">
    <w:pPr>
      <w:pStyle w:val="Header"/>
    </w:pPr>
    <w:r>
      <w:rPr>
        <w:noProof/>
      </w:rPr>
      <w:drawing>
        <wp:anchor distT="0" distB="0" distL="114300" distR="114300" simplePos="0" relativeHeight="251658259" behindDoc="1" locked="0" layoutInCell="1" allowOverlap="1" wp14:anchorId="34B4BEF0" wp14:editId="3CE00652">
          <wp:simplePos x="0" y="0"/>
          <wp:positionH relativeFrom="page">
            <wp:align>left</wp:align>
          </wp:positionH>
          <wp:positionV relativeFrom="page">
            <wp:align>top</wp:align>
          </wp:positionV>
          <wp:extent cx="7560000" cy="10691902"/>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FF7D" w14:textId="68299054" w:rsidR="009D70F5" w:rsidRPr="003F1E2D" w:rsidRDefault="006E1BA9" w:rsidP="00042053">
    <w:pPr>
      <w:pStyle w:val="Header"/>
    </w:pPr>
    <w:r w:rsidRPr="00FB5DDD">
      <w:rPr>
        <w:noProof/>
        <w:sz w:val="32"/>
        <w:szCs w:val="32"/>
      </w:rPr>
      <mc:AlternateContent>
        <mc:Choice Requires="wps">
          <w:drawing>
            <wp:anchor distT="0" distB="0" distL="114300" distR="114300" simplePos="0" relativeHeight="251658287" behindDoc="0" locked="0" layoutInCell="1" allowOverlap="1" wp14:anchorId="1D92E55F" wp14:editId="277634D8">
              <wp:simplePos x="0" y="0"/>
              <wp:positionH relativeFrom="column">
                <wp:posOffset>7560945</wp:posOffset>
              </wp:positionH>
              <wp:positionV relativeFrom="margin">
                <wp:align>bottom</wp:align>
              </wp:positionV>
              <wp:extent cx="399600" cy="4896000"/>
              <wp:effectExtent l="0" t="0" r="635" b="0"/>
              <wp:wrapNone/>
              <wp:docPr id="26" name="Text Box 2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BDC16" w14:textId="2B0388D1" w:rsidR="006E1BA9" w:rsidRPr="00137C7E" w:rsidRDefault="00E979BB" w:rsidP="001D33D6">
                          <w:pPr>
                            <w:pStyle w:val="HeaderOdd"/>
                          </w:pPr>
                          <w:r>
                            <w:fldChar w:fldCharType="begin"/>
                          </w:r>
                          <w:r>
                            <w:instrText xml:space="preserve"> TITLE   \* MERGEFORMAT </w:instrText>
                          </w:r>
                          <w:r>
                            <w:fldChar w:fldCharType="separate"/>
                          </w:r>
                          <w:r w:rsidR="00ED5ABD">
                            <w:t>Budget Paper No. 1</w:t>
                          </w:r>
                          <w:r>
                            <w:fldChar w:fldCharType="end"/>
                          </w:r>
                          <w:r w:rsidR="006E1BA9">
                            <w:t xml:space="preserve">  |  </w:t>
                          </w:r>
                          <w:r w:rsidR="006E1BA9" w:rsidRPr="005476BD">
                            <w:rPr>
                              <w:noProof/>
                              <w:position w:val="-8"/>
                            </w:rPr>
                            <w:drawing>
                              <wp:inline distT="0" distB="0" distL="0" distR="0" wp14:anchorId="63873293" wp14:editId="4EBDF398">
                                <wp:extent cx="878400" cy="198000"/>
                                <wp:effectExtent l="0" t="254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D92E55F" id="_x0000_t202" coordsize="21600,21600" o:spt="202" path="m,l,21600r21600,l21600,xe">
              <v:stroke joinstyle="miter"/>
              <v:path gradientshapeok="t" o:connecttype="rect"/>
            </v:shapetype>
            <v:shape id="Text Box 26" o:spid="_x0000_s1069" type="#_x0000_t202" alt="Landscape Odd Header" style="position:absolute;margin-left:595.35pt;margin-top:0;width:31.45pt;height:385.5pt;z-index:251658287;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hII6iu4BAADFAwAADgAAAAAAAAAAAAAAAAAuAgAAZHJzL2Uy&#10;b0RvYy54bWxQSwECLQAUAAYACAAAACEAYq6fkuAAAAAKAQAADwAAAAAAAAAAAAAAAABIBAAAZHJz&#10;L2Rvd25yZXYueG1sUEsFBgAAAAAEAAQA8wAAAFUFAAAAAA==&#10;" stroked="f">
              <v:textbox style="layout-flow:vertical" inset="0,0,0,.2mm">
                <w:txbxContent>
                  <w:p w14:paraId="6F8BDC16" w14:textId="2B0388D1" w:rsidR="006E1BA9" w:rsidRPr="00137C7E" w:rsidRDefault="00E33F7C" w:rsidP="001D33D6">
                    <w:pPr>
                      <w:pStyle w:val="HeaderOdd"/>
                    </w:pPr>
                    <w:fldSimple w:instr=" TITLE   \* MERGEFORMAT ">
                      <w:r w:rsidR="00ED5ABD">
                        <w:t>Budget Paper No. 1</w:t>
                      </w:r>
                    </w:fldSimple>
                    <w:r w:rsidR="006E1BA9">
                      <w:t xml:space="preserve">  |  </w:t>
                    </w:r>
                    <w:r w:rsidR="006E1BA9" w:rsidRPr="005476BD">
                      <w:rPr>
                        <w:noProof/>
                        <w:position w:val="-8"/>
                      </w:rPr>
                      <w:drawing>
                        <wp:inline distT="0" distB="0" distL="0" distR="0" wp14:anchorId="63873293" wp14:editId="4EBDF398">
                          <wp:extent cx="878400" cy="198000"/>
                          <wp:effectExtent l="0" t="254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r w:rsidR="009D70F5" w:rsidRPr="005E792C">
      <w:rPr>
        <w:noProof/>
        <w:sz w:val="2"/>
        <w:szCs w:val="2"/>
      </w:rPr>
      <mc:AlternateContent>
        <mc:Choice Requires="wps">
          <w:drawing>
            <wp:anchor distT="0" distB="0" distL="114300" distR="114300" simplePos="0" relativeHeight="251658262" behindDoc="0" locked="0" layoutInCell="1" allowOverlap="1" wp14:anchorId="76554E36" wp14:editId="41A6619B">
              <wp:simplePos x="0" y="0"/>
              <wp:positionH relativeFrom="column">
                <wp:posOffset>-540385</wp:posOffset>
              </wp:positionH>
              <wp:positionV relativeFrom="margin">
                <wp:align>top</wp:align>
              </wp:positionV>
              <wp:extent cx="399600" cy="4896000"/>
              <wp:effectExtent l="0" t="0" r="635" b="0"/>
              <wp:wrapNone/>
              <wp:docPr id="511" name="Text Box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59A0B8A" w14:textId="77777777" w:rsidR="009D70F5" w:rsidRDefault="009D70F5" w:rsidP="00042053">
                          <w:pPr>
                            <w:pStyle w:val="FooterOdd"/>
                          </w:pPr>
                          <w:r w:rsidRPr="00A827CA">
                            <w:t>Statement 9: Statement of Risks</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3</w:t>
                          </w:r>
                          <w:r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6554E36" id="Text Box 511" o:spid="_x0000_s1070" type="#_x0000_t202" alt="&quot;&quot;" style="position:absolute;margin-left:-42.55pt;margin-top:0;width:31.45pt;height:385.5pt;z-index:25165826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" stroked="f">
              <v:textbox style="layout-flow:vertical" inset="0,0,0,0">
                <w:txbxContent>
                  <w:p w14:paraId="459A0B8A" w14:textId="77777777" w:rsidR="009D70F5" w:rsidRDefault="009D70F5" w:rsidP="00042053">
                    <w:pPr>
                      <w:pStyle w:val="FooterOdd"/>
                    </w:pPr>
                    <w:r w:rsidRPr="00A827CA">
                      <w:t>Statement 9: Statement of Risks</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3</w:t>
                    </w:r>
                    <w:r w:rsidRPr="00B3705D">
                      <w:rPr>
                        <w:b/>
                        <w:bCs/>
                      </w:rPr>
                      <w:fldChar w:fldCharType="end"/>
                    </w:r>
                  </w:p>
                </w:txbxContent>
              </v:textbox>
              <w10:wrap anchory="margin"/>
            </v:shape>
          </w:pict>
        </mc:Fallback>
      </mc:AlternateContent>
    </w:r>
    <w:r w:rsidR="009D70F5">
      <w:rPr>
        <w:noProof/>
      </w:rPr>
      <w:drawing>
        <wp:anchor distT="0" distB="0" distL="114300" distR="114300" simplePos="0" relativeHeight="251658242" behindDoc="1" locked="0" layoutInCell="1" allowOverlap="1" wp14:anchorId="26FB580B" wp14:editId="136D6495">
          <wp:simplePos x="0" y="0"/>
          <wp:positionH relativeFrom="page">
            <wp:align>left</wp:align>
          </wp:positionH>
          <wp:positionV relativeFrom="page">
            <wp:align>top</wp:align>
          </wp:positionV>
          <wp:extent cx="7560000" cy="10692000"/>
          <wp:effectExtent l="0" t="3810" r="0" b="0"/>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16200000" flipH="1"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8FFB" w14:textId="77777777" w:rsidR="009D70F5" w:rsidRPr="00B963B1" w:rsidRDefault="009D70F5" w:rsidP="00042053">
    <w:pPr>
      <w:pStyle w:val="Header"/>
    </w:pPr>
    <w:r>
      <w:rPr>
        <w:noProof/>
      </w:rPr>
      <mc:AlternateContent>
        <mc:Choice Requires="wps">
          <w:drawing>
            <wp:anchor distT="0" distB="0" distL="114300" distR="114300" simplePos="0" relativeHeight="251658281" behindDoc="0" locked="1" layoutInCell="0" allowOverlap="1" wp14:anchorId="102972BA" wp14:editId="2122FFF8">
              <wp:simplePos x="0" y="0"/>
              <wp:positionH relativeFrom="margin">
                <wp:align>center</wp:align>
              </wp:positionH>
              <wp:positionV relativeFrom="topMargin">
                <wp:align>center</wp:align>
              </wp:positionV>
              <wp:extent cx="1891665" cy="250190"/>
              <wp:effectExtent l="0" t="0" r="0" b="0"/>
              <wp:wrapNone/>
              <wp:docPr id="86" name="Text Box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FE7E8E" w14:textId="575C7461" w:rsidR="009D70F5" w:rsidRPr="00BC29FE" w:rsidRDefault="009D70F5" w:rsidP="00042053">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D5ABD">
                            <w:rPr>
                              <w:rFonts w:ascii="Arial" w:hAnsi="Arial" w:cs="Arial"/>
                              <w:b/>
                              <w:color w:val="FF0000"/>
                              <w:sz w:val="24"/>
                            </w:rPr>
                            <w:t>OFFICIAL</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102972BA" id="_x0000_t202" coordsize="21600,21600" o:spt="202" path="m,l,21600r21600,l21600,xe">
              <v:stroke joinstyle="miter"/>
              <v:path gradientshapeok="t" o:connecttype="rect"/>
            </v:shapetype>
            <v:shape id="Text Box 86" o:spid="_x0000_s1073" type="#_x0000_t202" alt="&quot;&quot;" style="position:absolute;margin-left:0;margin-top:0;width:148.95pt;height:19.7pt;z-index:251658281;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fMGQIAADIEAAAOAAAAZHJzL2Uyb0RvYy54bWysU11r2zAUfR/sPwi9L7azJG1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r5Os5TwsWDGcpg4nXWaIV+05O2rujo7rzIBuoD7ufgSL23fNniECvm&#10;wytzyDWuhPoNL3hIBdgMThYlDbhff/sf45EC9FLSoXYqalDclKgfBqmZFqNRlFq6jMZ3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ofNXzBkCAAAyBAAADgAAAAAAAAAAAAAAAAAuAgAAZHJzL2Uyb0RvYy54bWxQSwECLQAUAAYA&#10;CAAAACEAPgQLl9wAAAAEAQAADwAAAAAAAAAAAAAAAABzBAAAZHJzL2Rvd25yZXYueG1sUEsFBgAA&#10;AAAEAAQA8wAAAHwFAAAAAA==&#10;" o:allowincell="f" filled="f" stroked="f" strokeweight=".5pt">
              <v:textbox style="mso-fit-shape-to-text:t">
                <w:txbxContent>
                  <w:p w14:paraId="37FE7E8E" w14:textId="575C7461" w:rsidR="009D70F5" w:rsidRPr="00BC29FE" w:rsidRDefault="009D70F5" w:rsidP="00042053">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D5ABD">
                      <w:rPr>
                        <w:rFonts w:ascii="Arial" w:hAnsi="Arial" w:cs="Arial"/>
                        <w:b/>
                        <w:color w:val="FF0000"/>
                        <w:sz w:val="24"/>
                      </w:rPr>
                      <w:t>OFFICIAL</w:t>
                    </w:r>
                    <w:r w:rsidRPr="00BC29FE">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8" behindDoc="0" locked="1" layoutInCell="0" allowOverlap="1" wp14:anchorId="56C2A1FD" wp14:editId="03CD3909">
              <wp:simplePos x="0" y="0"/>
              <wp:positionH relativeFrom="margin">
                <wp:align>center</wp:align>
              </wp:positionH>
              <wp:positionV relativeFrom="topMargin">
                <wp:align>center</wp:align>
              </wp:positionV>
              <wp:extent cx="1891665" cy="250190"/>
              <wp:effectExtent l="0" t="0" r="0" b="0"/>
              <wp:wrapNone/>
              <wp:docPr id="503" name="Text Box 5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9F7088" w14:textId="10E985A8"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6C2A1FD" id="Text Box 503" o:spid="_x0000_s1074" type="#_x0000_t202" alt="&quot;&quot;" style="position:absolute;margin-left:0;margin-top:0;width:148.95pt;height:19.7pt;z-index:25165827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8bgYkBkCAAAyBAAADgAAAAAAAAAAAAAAAAAuAgAAZHJzL2Uyb0RvYy54bWxQSwECLQAUAAYA&#10;CAAAACEAPgQLl9wAAAAEAQAADwAAAAAAAAAAAAAAAABzBAAAZHJzL2Rvd25yZXYueG1sUEsFBgAA&#10;AAAEAAQA8wAAAHwFAAAAAA==&#10;" o:allowincell="f" filled="f" stroked="f" strokeweight=".5pt">
              <v:textbox style="mso-fit-shape-to-text:t">
                <w:txbxContent>
                  <w:p w14:paraId="609F7088" w14:textId="10E985A8"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4" behindDoc="0" locked="1" layoutInCell="0" allowOverlap="1" wp14:anchorId="7311C4BD" wp14:editId="0BB588E4">
              <wp:simplePos x="0" y="0"/>
              <wp:positionH relativeFrom="margin">
                <wp:align>center</wp:align>
              </wp:positionH>
              <wp:positionV relativeFrom="topMargin">
                <wp:align>center</wp:align>
              </wp:positionV>
              <wp:extent cx="1891665" cy="250190"/>
              <wp:effectExtent l="0" t="0" r="0" b="0"/>
              <wp:wrapNone/>
              <wp:docPr id="474" name="Text Box 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819949" w14:textId="69B93E64"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311C4BD" id="Text Box 474" o:spid="_x0000_s1075" type="#_x0000_t202" alt="&quot;&quot;" style="position:absolute;margin-left:0;margin-top:0;width:148.95pt;height:19.7pt;z-index:25165827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8M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hoel5kA/UB93NwpN5bvmxxiBXz&#10;4YU55BpXQv2GZzykAmwGJ4uSBtzvj/7HeKQAvZR0qJ2KGhQ3JeqnQWqmxWgUpZYuo/G3IV7crWdz&#10;6zE7/QAozgLfieXJjPFBnU3pQL+hyBexJ7qY4di5ouFsPoSjnvGRcLFYpCAUl2VhZdaWx9IR1Ajw&#10;a//GnD2xEJC/JzhrjJXvyDjGxkxvF7uAlCSmIsxHTE/oozATgadHFJV/e09R16c+/wM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zR3/DBkCAAAyBAAADgAAAAAAAAAAAAAAAAAuAgAAZHJzL2Uyb0RvYy54bWxQSwECLQAUAAYA&#10;CAAAACEAPgQLl9wAAAAEAQAADwAAAAAAAAAAAAAAAABzBAAAZHJzL2Rvd25yZXYueG1sUEsFBgAA&#10;AAAEAAQA8wAAAHwFAAAAAA==&#10;" o:allowincell="f" filled="f" stroked="f" strokeweight=".5pt">
              <v:textbox style="mso-fit-shape-to-text:t">
                <w:txbxContent>
                  <w:p w14:paraId="08819949" w14:textId="69B93E64"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0" behindDoc="0" locked="1" layoutInCell="0" allowOverlap="1" wp14:anchorId="4E513A9D" wp14:editId="0BC7E54E">
              <wp:simplePos x="0" y="0"/>
              <wp:positionH relativeFrom="margin">
                <wp:align>center</wp:align>
              </wp:positionH>
              <wp:positionV relativeFrom="topMargin">
                <wp:align>center</wp:align>
              </wp:positionV>
              <wp:extent cx="1891665" cy="250190"/>
              <wp:effectExtent l="0" t="0" r="0" b="0"/>
              <wp:wrapNone/>
              <wp:docPr id="62" name="Text Box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5818CE" w14:textId="029B83A9"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E513A9D" id="Text Box 62" o:spid="_x0000_s1076" type="#_x0000_t202" alt="&quot;&quot;" style="position:absolute;margin-left:0;margin-top:0;width:148.95pt;height:19.7pt;z-index:25165827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LUf8IMaAgAAMgQAAA4AAAAAAAAAAAAAAAAALgIAAGRycy9lMm9Eb2MueG1sUEsBAi0AFAAG&#10;AAgAAAAhAD4EC5fcAAAABAEAAA8AAAAAAAAAAAAAAAAAdAQAAGRycy9kb3ducmV2LnhtbFBLBQYA&#10;AAAABAAEAPMAAAB9BQAAAAA=&#10;" o:allowincell="f" filled="f" stroked="f" strokeweight=".5pt">
              <v:textbox style="mso-fit-shape-to-text:t">
                <w:txbxContent>
                  <w:p w14:paraId="785818CE" w14:textId="029B83A9"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66" behindDoc="0" locked="1" layoutInCell="0" allowOverlap="1" wp14:anchorId="1BD5CF2D" wp14:editId="7479AB7D">
              <wp:simplePos x="0" y="0"/>
              <wp:positionH relativeFrom="margin">
                <wp:align>center</wp:align>
              </wp:positionH>
              <wp:positionV relativeFrom="topMargin">
                <wp:align>center</wp:align>
              </wp:positionV>
              <wp:extent cx="1891665" cy="250190"/>
              <wp:effectExtent l="0" t="0" r="0" b="0"/>
              <wp:wrapNone/>
              <wp:docPr id="31"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96BC6A" w14:textId="23168B24"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BD5CF2D" id="Text Box 31" o:spid="_x0000_s1077" type="#_x0000_t202" alt="&quot;&quot;" style="position:absolute;margin-left:0;margin-top:0;width:148.95pt;height:19.7pt;z-index:25165826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cf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4ssgG6gPu5+BIvbd82eIQK+bD&#10;C3PINa6E+g3PeEgF2AxOFiUNuN8f/Y/xSAF6KelQOxU1KG5K1E+D1EyL0ShKLV1G429DvLhbz+bW&#10;Y3b6AVCcBb4Ty5MZ44M6m9KBfkORL2JPdDHDsXNFw9l8CEc94yPhYrFIQSguy8LKrC2PpSOoEeDX&#10;/o05e2IhIH9PcNYYK9+RcYyNmd4udgEpSUxFmI+YntBHYSYCT48oKv/2nqKuT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CJuhcfGAIAADIEAAAOAAAAAAAAAAAAAAAAAC4CAABkcnMvZTJvRG9jLnhtbFBLAQItABQABgAI&#10;AAAAIQA+BAuX3AAAAAQBAAAPAAAAAAAAAAAAAAAAAHIEAABkcnMvZG93bnJldi54bWxQSwUGAAAA&#10;AAQABADzAAAAewUAAAAA&#10;" o:allowincell="f" filled="f" stroked="f" strokeweight=".5pt">
              <v:textbox style="mso-fit-shape-to-text:t">
                <w:txbxContent>
                  <w:p w14:paraId="6A96BC6A" w14:textId="23168B24"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v:textbox>
              <w10:wrap anchorx="margin" anchory="margin"/>
              <w10:anchorlock/>
            </v:shape>
          </w:pict>
        </mc:Fallback>
      </mc:AlternateContent>
    </w:r>
    <w:r>
      <w:rPr>
        <w:noProof/>
      </w:rPr>
      <w:drawing>
        <wp:anchor distT="0" distB="0" distL="114300" distR="114300" simplePos="0" relativeHeight="251658260" behindDoc="1" locked="0" layoutInCell="1" allowOverlap="1" wp14:anchorId="7AB4D8D0" wp14:editId="06EE8DE4">
          <wp:simplePos x="0" y="0"/>
          <wp:positionH relativeFrom="page">
            <wp:posOffset>783772</wp:posOffset>
          </wp:positionH>
          <wp:positionV relativeFrom="page">
            <wp:posOffset>-167951</wp:posOffset>
          </wp:positionV>
          <wp:extent cx="7560000" cy="10692000"/>
          <wp:effectExtent l="0" t="0" r="3175"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DC5F" w14:textId="0650DCB7" w:rsidR="00FB5DDD" w:rsidRPr="00AA5439" w:rsidRDefault="00174DAC" w:rsidP="00AA5439">
    <w:pPr>
      <w:pStyle w:val="HeaderEven"/>
      <w:rPr>
        <w:sz w:val="2"/>
        <w:szCs w:val="2"/>
      </w:rPr>
    </w:pPr>
    <w:r>
      <w:rPr>
        <w:noProof/>
      </w:rPr>
      <w:drawing>
        <wp:anchor distT="0" distB="0" distL="114300" distR="114300" simplePos="0" relativeHeight="251658284" behindDoc="1" locked="0" layoutInCell="1" allowOverlap="1" wp14:anchorId="0A712D59" wp14:editId="3D85E8D2">
          <wp:simplePos x="0" y="0"/>
          <wp:positionH relativeFrom="page">
            <wp:align>left</wp:align>
          </wp:positionH>
          <wp:positionV relativeFrom="page">
            <wp:align>top</wp:align>
          </wp:positionV>
          <wp:extent cx="7560000" cy="10692000"/>
          <wp:effectExtent l="0" t="0" r="3175"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6BC32555" w14:textId="77777777" w:rsidTr="00042053">
      <w:trPr>
        <w:trHeight w:hRule="exact" w:val="340"/>
      </w:trPr>
      <w:tc>
        <w:tcPr>
          <w:tcW w:w="7797" w:type="dxa"/>
        </w:tcPr>
        <w:p w14:paraId="305FF191" w14:textId="5B491491" w:rsidR="00FB5DDD" w:rsidRPr="008C56E1" w:rsidRDefault="00FB5DDD" w:rsidP="00F60EA1">
          <w:pPr>
            <w:pStyle w:val="HeaderEven"/>
          </w:pPr>
          <w:r w:rsidRPr="008C56E1">
            <w:rPr>
              <w:noProof/>
              <w:position w:val="-8"/>
            </w:rPr>
            <w:drawing>
              <wp:inline distT="0" distB="0" distL="0" distR="0" wp14:anchorId="7BBB5088" wp14:editId="11C093A7">
                <wp:extent cx="874979" cy="198000"/>
                <wp:effectExtent l="0" t="0" r="1905"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E979BB">
            <w:fldChar w:fldCharType="begin"/>
          </w:r>
          <w:r w:rsidR="00E979BB">
            <w:instrText xml:space="preserve"> TITLE   \* MERGEFORMAT </w:instrText>
          </w:r>
          <w:r w:rsidR="00E979BB">
            <w:fldChar w:fldCharType="separate"/>
          </w:r>
          <w:r w:rsidR="00ED5ABD">
            <w:t>Budget Paper No. 1</w:t>
          </w:r>
          <w:r w:rsidR="00E979BB">
            <w:fldChar w:fldCharType="end"/>
          </w:r>
        </w:p>
      </w:tc>
    </w:tr>
  </w:tbl>
  <w:p w14:paraId="387C3008" w14:textId="77777777" w:rsidR="00FB5DDD" w:rsidRPr="00AA5439" w:rsidRDefault="00FB5DDD" w:rsidP="00AA5439">
    <w:pPr>
      <w:pStyle w:val="HeaderEven"/>
      <w:rPr>
        <w:sz w:val="2"/>
        <w:szCs w:val="4"/>
      </w:rPr>
    </w:pPr>
  </w:p>
  <w:p w14:paraId="0F4B6A04" w14:textId="77777777" w:rsidR="00FB5DDD" w:rsidRPr="007703C7" w:rsidRDefault="00FB5DDD" w:rsidP="007703C7">
    <w:pPr>
      <w:pStyle w:val="Heade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192D" w14:textId="6287A8A0" w:rsidR="00FB5DDD" w:rsidRPr="000635BE" w:rsidRDefault="00174DAC" w:rsidP="000635BE">
    <w:pPr>
      <w:pStyle w:val="HeaderOdd"/>
      <w:rPr>
        <w:sz w:val="2"/>
        <w:szCs w:val="4"/>
      </w:rPr>
    </w:pPr>
    <w:r>
      <w:rPr>
        <w:noProof/>
      </w:rPr>
      <w:drawing>
        <wp:anchor distT="0" distB="0" distL="114300" distR="114300" simplePos="0" relativeHeight="251658285" behindDoc="1" locked="0" layoutInCell="1" allowOverlap="1" wp14:anchorId="5DD086D1" wp14:editId="4FE6BFE7">
          <wp:simplePos x="0" y="0"/>
          <wp:positionH relativeFrom="page">
            <wp:align>center</wp:align>
          </wp:positionH>
          <wp:positionV relativeFrom="page">
            <wp:align>top</wp:align>
          </wp:positionV>
          <wp:extent cx="7560000" cy="10692000"/>
          <wp:effectExtent l="0" t="0" r="3175"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6273AD61" w14:textId="77777777" w:rsidTr="008C56E1">
      <w:trPr>
        <w:trHeight w:hRule="exact" w:val="340"/>
      </w:trPr>
      <w:tc>
        <w:tcPr>
          <w:tcW w:w="7797" w:type="dxa"/>
        </w:tcPr>
        <w:p w14:paraId="290290A4" w14:textId="298FDACB" w:rsidR="00FB5DDD" w:rsidRPr="00D13BF9" w:rsidRDefault="00E979BB" w:rsidP="00D13BF9">
          <w:pPr>
            <w:pStyle w:val="HeaderOdd"/>
          </w:pPr>
          <w:r>
            <w:fldChar w:fldCharType="begin"/>
          </w:r>
          <w:r>
            <w:instrText xml:space="preserve"> TITLE   \* MERGEFORMAT </w:instrText>
          </w:r>
          <w:r>
            <w:fldChar w:fldCharType="separate"/>
          </w:r>
          <w:r w:rsidR="00ED5ABD">
            <w:t>Budget Paper No. 1</w:t>
          </w:r>
          <w:r>
            <w:fldChar w:fldCharType="end"/>
          </w:r>
          <w:r w:rsidR="00FB5DDD" w:rsidRPr="00D13BF9">
            <w:t xml:space="preserve">  |  </w:t>
          </w:r>
          <w:r w:rsidR="00FB5DDD" w:rsidRPr="00C9389A">
            <w:rPr>
              <w:noProof/>
              <w:position w:val="-8"/>
            </w:rPr>
            <w:drawing>
              <wp:inline distT="0" distB="0" distL="0" distR="0" wp14:anchorId="794B8FEC" wp14:editId="23ED2A70">
                <wp:extent cx="878400" cy="198000"/>
                <wp:effectExtent l="0" t="0" r="0" b="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ACF5F39" w14:textId="77777777" w:rsidR="00FB5DDD" w:rsidRPr="00AA5439" w:rsidRDefault="00FB5DDD" w:rsidP="00AA5439">
    <w:pPr>
      <w:pStyle w:val="Heade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2EA4" w14:textId="00C5BB07" w:rsidR="00FB5DDD" w:rsidRDefault="00174DAC">
    <w:pPr>
      <w:pStyle w:val="Header"/>
      <w:rPr>
        <w:sz w:val="2"/>
        <w:szCs w:val="2"/>
      </w:rPr>
    </w:pPr>
    <w:r>
      <w:rPr>
        <w:noProof/>
      </w:rPr>
      <w:drawing>
        <wp:anchor distT="0" distB="0" distL="114300" distR="114300" simplePos="0" relativeHeight="251658283" behindDoc="1" locked="0" layoutInCell="1" allowOverlap="1" wp14:anchorId="241BADC4" wp14:editId="5541957C">
          <wp:simplePos x="0" y="0"/>
          <wp:positionH relativeFrom="page">
            <wp:align>center</wp:align>
          </wp:positionH>
          <wp:positionV relativeFrom="page">
            <wp:align>top</wp:align>
          </wp:positionV>
          <wp:extent cx="7560000" cy="10692000"/>
          <wp:effectExtent l="0" t="0" r="3175" b="0"/>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23213FB"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A842569" w14:textId="77777777" w:rsidTr="008C56E1">
      <w:trPr>
        <w:trHeight w:hRule="exact" w:val="340"/>
      </w:trPr>
      <w:tc>
        <w:tcPr>
          <w:tcW w:w="7797" w:type="dxa"/>
        </w:tcPr>
        <w:p w14:paraId="06356C30" w14:textId="7D6713B4" w:rsidR="00FB5DDD" w:rsidRPr="00D13BF9" w:rsidRDefault="00E979BB" w:rsidP="00D13BF9">
          <w:pPr>
            <w:pStyle w:val="HeaderOdd"/>
          </w:pPr>
          <w:r>
            <w:fldChar w:fldCharType="begin"/>
          </w:r>
          <w:r>
            <w:instrText xml:space="preserve"> TITLE   \* MERGEFORMAT </w:instrText>
          </w:r>
          <w:r>
            <w:fldChar w:fldCharType="separate"/>
          </w:r>
          <w:r w:rsidR="00ED5ABD">
            <w:t>Budget Paper No. 1</w:t>
          </w:r>
          <w:r>
            <w:fldChar w:fldCharType="end"/>
          </w:r>
          <w:r w:rsidR="00FB5DDD" w:rsidRPr="00D13BF9">
            <w:t xml:space="preserve">  |  </w:t>
          </w:r>
          <w:r w:rsidR="00FB5DDD" w:rsidRPr="00C9389A">
            <w:rPr>
              <w:noProof/>
              <w:position w:val="-8"/>
            </w:rPr>
            <w:drawing>
              <wp:inline distT="0" distB="0" distL="0" distR="0" wp14:anchorId="7E99C451" wp14:editId="5C81CA13">
                <wp:extent cx="878400" cy="198000"/>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A9BFAEB"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1" behindDoc="0" locked="0" layoutInCell="1" allowOverlap="1" wp14:anchorId="57940579" wp14:editId="64A2E8AB">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0997D" w14:textId="1A007395" w:rsidR="00FB5DDD" w:rsidRPr="00137C7E" w:rsidRDefault="00E979BB" w:rsidP="001D33D6">
                          <w:pPr>
                            <w:pStyle w:val="HeaderOdd"/>
                          </w:pPr>
                          <w:r>
                            <w:fldChar w:fldCharType="begin"/>
                          </w:r>
                          <w:r>
                            <w:instrText xml:space="preserve"> TITLE   \* MERGEFORMAT </w:instrText>
                          </w:r>
                          <w:r>
                            <w:fldChar w:fldCharType="separate"/>
                          </w:r>
                          <w:r w:rsidR="00ED5ABD">
                            <w:t>Budget Paper No. 1</w:t>
                          </w:r>
                          <w:r>
                            <w:fldChar w:fldCharType="end"/>
                          </w:r>
                          <w:r w:rsidR="00FB5DDD">
                            <w:t xml:space="preserve">  |  </w:t>
                          </w:r>
                          <w:r w:rsidR="00FB5DDD" w:rsidRPr="000635BE">
                            <w:rPr>
                              <w:rFonts w:ascii="Arial Bold" w:hAnsi="Arial Bold"/>
                              <w:b/>
                              <w:bCs/>
                              <w:noProof/>
                              <w:position w:val="-10"/>
                            </w:rPr>
                            <w:drawing>
                              <wp:inline distT="0" distB="0" distL="0" distR="0" wp14:anchorId="6640A2D0" wp14:editId="7A322E5D">
                                <wp:extent cx="1000760" cy="228609"/>
                                <wp:effectExtent l="5080" t="0" r="0"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7940579" id="_x0000_t202" coordsize="21600,21600" o:spt="202" path="m,l,21600r21600,l21600,xe">
              <v:stroke joinstyle="miter"/>
              <v:path gradientshapeok="t" o:connecttype="rect"/>
            </v:shapetype>
            <v:shape id="Text Box 70" o:spid="_x0000_s1084" type="#_x0000_t202" alt="Landscape Odd Header" style="position:absolute;margin-left:595.35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hfiu1e4BAADFAwAADgAAAAAAAAAAAAAAAAAuAgAAZHJzL2Uy&#10;b0RvYy54bWxQSwECLQAUAAYACAAAACEAYq6fkuAAAAAKAQAADwAAAAAAAAAAAAAAAABIBAAAZHJz&#10;L2Rvd25yZXYueG1sUEsFBgAAAAAEAAQA8wAAAFUFAAAAAA==&#10;" stroked="f">
              <v:textbox style="layout-flow:vertical" inset="0,0,0,.2mm">
                <w:txbxContent>
                  <w:p w14:paraId="6F90997D" w14:textId="1A007395" w:rsidR="00FB5DDD" w:rsidRPr="00137C7E" w:rsidRDefault="00E33F7C" w:rsidP="001D33D6">
                    <w:pPr>
                      <w:pStyle w:val="HeaderOdd"/>
                    </w:pPr>
                    <w:fldSimple w:instr=" TITLE   \* MERGEFORMAT ">
                      <w:r w:rsidR="00ED5ABD">
                        <w:t>Budget Paper No. 1</w:t>
                      </w:r>
                    </w:fldSimple>
                    <w:r w:rsidR="00FB5DDD">
                      <w:t xml:space="preserve">  |  </w:t>
                    </w:r>
                    <w:r w:rsidR="00FB5DDD" w:rsidRPr="000635BE">
                      <w:rPr>
                        <w:rFonts w:ascii="Arial Bold" w:hAnsi="Arial Bold"/>
                        <w:b/>
                        <w:bCs/>
                        <w:noProof/>
                        <w:position w:val="-10"/>
                      </w:rPr>
                      <w:drawing>
                        <wp:inline distT="0" distB="0" distL="0" distR="0" wp14:anchorId="6640A2D0" wp14:editId="7A322E5D">
                          <wp:extent cx="1000760" cy="228609"/>
                          <wp:effectExtent l="5080" t="0" r="0"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EF94" w14:textId="2D62E991" w:rsidR="00402365" w:rsidRDefault="009D70F5">
    <w:pPr>
      <w:pStyle w:val="Header"/>
    </w:pPr>
    <w:r>
      <w:rPr>
        <w:noProof/>
      </w:rPr>
      <mc:AlternateContent>
        <mc:Choice Requires="wps">
          <w:drawing>
            <wp:anchor distT="0" distB="0" distL="114300" distR="114300" simplePos="0" relativeHeight="251658276" behindDoc="0" locked="1" layoutInCell="0" allowOverlap="1" wp14:anchorId="4E1063F3" wp14:editId="65D73771">
              <wp:simplePos x="0" y="0"/>
              <wp:positionH relativeFrom="margin">
                <wp:align>center</wp:align>
              </wp:positionH>
              <wp:positionV relativeFrom="topMargin">
                <wp:align>center</wp:align>
              </wp:positionV>
              <wp:extent cx="1891665" cy="250190"/>
              <wp:effectExtent l="0" t="0" r="0" b="0"/>
              <wp:wrapNone/>
              <wp:docPr id="489" name="Text Box 4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251D79" w14:textId="404F1FDC"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4E1063F3" id="_x0000_t202" coordsize="21600,21600" o:spt="202" path="m,l,21600r21600,l21600,xe">
              <v:stroke joinstyle="miter"/>
              <v:path gradientshapeok="t" o:connecttype="rect"/>
            </v:shapetype>
            <v:shape id="Text Box 489" o:spid="_x0000_s1026" type="#_x0000_t202" alt="&quot;&quot;" style="position:absolute;margin-left:0;margin-top:0;width:148.95pt;height:19.7pt;z-index:25165827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" o:allowincell="f" filled="f" stroked="f" strokeweight=".5pt">
              <v:textbox style="mso-fit-shape-to-text:t">
                <w:txbxContent>
                  <w:p w14:paraId="0C251D79" w14:textId="404F1FDC"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2" behindDoc="0" locked="1" layoutInCell="0" allowOverlap="1" wp14:anchorId="0C76E5E9" wp14:editId="485ED8C9">
              <wp:simplePos x="0" y="0"/>
              <wp:positionH relativeFrom="margin">
                <wp:align>center</wp:align>
              </wp:positionH>
              <wp:positionV relativeFrom="topMargin">
                <wp:align>center</wp:align>
              </wp:positionV>
              <wp:extent cx="1891665" cy="250190"/>
              <wp:effectExtent l="0" t="0" r="0" b="0"/>
              <wp:wrapNone/>
              <wp:docPr id="459" name="Text Box 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E85718" w14:textId="36861031"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C76E5E9" id="Text Box 459" o:spid="_x0000_s1027" type="#_x0000_t202" alt="&quot;&quot;" style="position:absolute;margin-left:0;margin-top:0;width:148.95pt;height:19.7pt;z-index:25165827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Y71Fg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" o:allowincell="f" filled="f" stroked="f" strokeweight=".5pt">
              <v:textbox style="mso-fit-shape-to-text:t">
                <w:txbxContent>
                  <w:p w14:paraId="06E85718" w14:textId="36861031"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68" behindDoc="0" locked="1" layoutInCell="0" allowOverlap="1" wp14:anchorId="79AF793F" wp14:editId="5BCB6B1C">
              <wp:simplePos x="0" y="0"/>
              <wp:positionH relativeFrom="margin">
                <wp:align>center</wp:align>
              </wp:positionH>
              <wp:positionV relativeFrom="topMargin">
                <wp:align>center</wp:align>
              </wp:positionV>
              <wp:extent cx="1891665" cy="250190"/>
              <wp:effectExtent l="0" t="0" r="0" b="0"/>
              <wp:wrapNone/>
              <wp:docPr id="48" name="Text Box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61E6AC" w14:textId="5027F666"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9AF793F" id="Text Box 48" o:spid="_x0000_s1028" type="#_x0000_t202" alt="&quot;&quot;" style="position:absolute;margin-left:0;margin-top:0;width:148.95pt;height:19.7pt;z-index:25165826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eL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nOe2ygPuB6Do7Me8uXLc6wYj68&#10;MIdU40Yo3/CMh1SAveBkUdKA+/3R/xiPDKCXkg6lU1GD2qZE/TTIzLQYjaLS0mU0/jbEi7v1bG49&#10;ZqcfALVZ4DOxPJkxPqizKR3oN9T4IvZEFzMcO1c0nM2HcJQzvhEuFosUhNqyLKzM2vJYOmIa8X3t&#10;35izJxIC0vcEZ4mx8h0Xx9iY6e1iF5CRRFRE+YjpCXzUZeLv9Iai8G/vKer60ud/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xINeLGAIAADEEAAAOAAAAAAAAAAAAAAAAAC4CAABkcnMvZTJvRG9jLnhtbFBLAQItABQABgAI&#10;AAAAIQA+BAuX3AAAAAQBAAAPAAAAAAAAAAAAAAAAAHIEAABkcnMvZG93bnJldi54bWxQSwUGAAAA&#10;AAQABADzAAAAewUAAAAA&#10;" o:allowincell="f" filled="f" stroked="f" strokeweight=".5pt">
              <v:textbox style="mso-fit-shape-to-text:t">
                <w:txbxContent>
                  <w:p w14:paraId="1A61E6AC" w14:textId="5027F666"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64" behindDoc="0" locked="1" layoutInCell="0" allowOverlap="1" wp14:anchorId="25D8E984" wp14:editId="0D83265A">
              <wp:simplePos x="0" y="0"/>
              <wp:positionH relativeFrom="margin">
                <wp:align>center</wp:align>
              </wp:positionH>
              <wp:positionV relativeFrom="topMargin">
                <wp:align>center</wp:align>
              </wp:positionV>
              <wp:extent cx="1891665" cy="25019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DB1BBE" w14:textId="282495A7"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25D8E984" id="Text Box 4" o:spid="_x0000_s1029" type="#_x0000_t202" alt="&quot;&quot;" style="position:absolute;margin-left:0;margin-top:0;width:148.95pt;height:19.7pt;z-index:251658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AXGQIAADE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TuvMcG6gOu5+DIvLd82eIMK+bD&#10;K3NINW6E8g0veEgF2AtOFiUNuF9/+x/jkQH0UtKhdCpqUNuUqB8GmZkWo1FUWrqMxl+HeHG3ns2t&#10;x+z0I6A2C3wmliczxgd1NqUD/Y4aX8Se6GKGY+eKhrP5GI5yxjfCxWKRglBbloWVWVseS0dMI75v&#10;/Ttz9kRCQPqe4SwxVn7g4hgbM71d7AIykoiKKB8xPYGPukz8nd5QFP7tPUVdX/r8N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YUwFxkCAAAxBAAADgAAAAAAAAAAAAAAAAAuAgAAZHJzL2Uyb0RvYy54bWxQSwECLQAUAAYA&#10;CAAAACEAPgQLl9wAAAAEAQAADwAAAAAAAAAAAAAAAABzBAAAZHJzL2Rvd25yZXYueG1sUEsFBgAA&#10;AAAEAAQA8wAAAHwFAAAAAA==&#10;" o:allowincell="f" filled="f" stroked="f" strokeweight=".5pt">
              <v:textbox style="mso-fit-shape-to-text:t">
                <w:txbxContent>
                  <w:p w14:paraId="38DB1BBE" w14:textId="282495A7"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0" distR="0" simplePos="0" relativeHeight="251658253" behindDoc="0" locked="1" layoutInCell="0" allowOverlap="1" wp14:anchorId="7B63036A" wp14:editId="2086E69B">
              <wp:simplePos x="0" y="0"/>
              <wp:positionH relativeFrom="page">
                <wp:posOffset>1321435</wp:posOffset>
              </wp:positionH>
              <wp:positionV relativeFrom="page">
                <wp:posOffset>360045</wp:posOffset>
              </wp:positionV>
              <wp:extent cx="4910455" cy="615315"/>
              <wp:effectExtent l="0" t="0" r="0" b="0"/>
              <wp:wrapSquare wrapText="bothSides"/>
              <wp:docPr id="77" name="Text Box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417E6" w14:textId="77777777" w:rsidR="009D70F5" w:rsidRDefault="009D70F5">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B63036A" id="Text Box 77" o:spid="_x0000_s1030" type="#_x0000_t202" alt="&quot;&quot;" style="position:absolute;margin-left:104.05pt;margin-top:28.35pt;width:386.65pt;height:48.45pt;z-index:25165825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oX2wEAAJgDAAAOAAAAZHJzL2Uyb0RvYy54bWysU9tu1DAQfUfiHyy/s9mUbgX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b/P15WYjheazq3zzOt+kEqpYXnuk8N7AIGJQSuSmJnR1eKAQ2ahiuRKLObi3fZ8a27vfEnwx&#10;ZhL7SHimHqZqErZmJrFuFFNBfWQ5CPO48Hhz0AH+kGLkUSklfd8rNFL0HxxbEudqCXAJqiVQTvPT&#10;UgYp5vA2zPO392jbjpFn0x3csG2NTYqeWZzocvuT0NOoxvn6dZ9uPX+o3U8A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AIr8oX2wEAAJgDAAAOAAAAAAAAAAAAAAAAAC4CAABkcnMvZTJvRG9jLnhtbFBLAQItABQABgAI&#10;AAAAIQDRbryF4AAAAAoBAAAPAAAAAAAAAAAAAAAAADUEAABkcnMvZG93bnJldi54bWxQSwUGAAAA&#10;AAQABADzAAAAQgUAAAAA&#10;" o:allowincell="f" filled="f" stroked="f">
              <v:textbox inset="0,0,0,0">
                <w:txbxContent>
                  <w:p w14:paraId="48C417E6" w14:textId="77777777" w:rsidR="009D70F5" w:rsidRDefault="009D70F5">
                    <w:pPr>
                      <w:pStyle w:val="Classification"/>
                    </w:pPr>
                    <w:r>
                      <w:t xml:space="preserve">: </w:t>
                    </w:r>
                    <w:r>
                      <w:br/>
                      <w:t>Sensitive: Cabinet</w:t>
                    </w:r>
                  </w:p>
                </w:txbxContent>
              </v:textbox>
              <w10:wrap type="square" anchorx="page" anchory="page"/>
              <w10:anchorlock/>
            </v:shape>
          </w:pict>
        </mc:Fallback>
      </mc:AlternateContent>
    </w:r>
    <w:r>
      <w:rPr>
        <w:noProof/>
      </w:rPr>
      <mc:AlternateContent>
        <mc:Choice Requires="wps">
          <w:drawing>
            <wp:inline distT="0" distB="0" distL="0" distR="0" wp14:anchorId="72498DC4" wp14:editId="0AD080A8">
              <wp:extent cx="1891665" cy="250190"/>
              <wp:effectExtent l="0" t="0" r="0" b="0"/>
              <wp:docPr id="689" name="Text Box 6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D59E29" w14:textId="1E8DDF0B" w:rsidR="009D70F5" w:rsidRPr="002F0C3B" w:rsidRDefault="009D70F5" w:rsidP="00042053">
                          <w:pPr>
                            <w:spacing w:before="0" w:after="0"/>
                            <w:jc w:val="center"/>
                            <w:rPr>
                              <w:rFonts w:ascii="Arial" w:hAnsi="Arial" w:cs="Arial"/>
                              <w:b/>
                              <w:color w:val="FF0000"/>
                              <w:sz w:val="24"/>
                            </w:rPr>
                          </w:pPr>
                          <w:r w:rsidRPr="002F0C3B">
                            <w:rPr>
                              <w:rFonts w:ascii="Arial" w:hAnsi="Arial" w:cs="Arial"/>
                              <w:b/>
                              <w:color w:val="FF0000"/>
                              <w:sz w:val="24"/>
                            </w:rPr>
                            <w:fldChar w:fldCharType="begin"/>
                          </w:r>
                          <w:r w:rsidRPr="002F0C3B">
                            <w:rPr>
                              <w:rFonts w:ascii="Arial" w:hAnsi="Arial" w:cs="Arial"/>
                              <w:b/>
                              <w:color w:val="FF0000"/>
                              <w:sz w:val="24"/>
                            </w:rPr>
                            <w:instrText xml:space="preserve"> DOCPROPERTY PM_ProtectiveMarkingValue_Header \* MERGEFORMAT </w:instrText>
                          </w:r>
                          <w:r w:rsidRPr="002F0C3B">
                            <w:rPr>
                              <w:rFonts w:ascii="Arial" w:hAnsi="Arial" w:cs="Arial"/>
                              <w:b/>
                              <w:color w:val="FF0000"/>
                              <w:sz w:val="24"/>
                            </w:rPr>
                            <w:fldChar w:fldCharType="separate"/>
                          </w:r>
                          <w:r w:rsidR="00ED5ABD">
                            <w:rPr>
                              <w:rFonts w:ascii="Arial" w:hAnsi="Arial" w:cs="Arial"/>
                              <w:b/>
                              <w:color w:val="FF0000"/>
                              <w:sz w:val="24"/>
                            </w:rPr>
                            <w:t>OFFICIAL</w:t>
                          </w:r>
                          <w:r w:rsidRPr="002F0C3B">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72498DC4" id="Text Box 689" o:spid="_x0000_s1031"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4Pr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4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HV4PrGAIAADEEAAAOAAAAAAAAAAAAAAAAAC4CAABkcnMvZTJvRG9jLnhtbFBLAQItABQABgAI&#10;AAAAIQA+BAuX3AAAAAQBAAAPAAAAAAAAAAAAAAAAAHIEAABkcnMvZG93bnJldi54bWxQSwUGAAAA&#10;AAQABADzAAAAewUAAAAA&#10;" filled="f" stroked="f" strokeweight=".5pt">
              <v:textbox style="mso-fit-shape-to-text:t">
                <w:txbxContent>
                  <w:p w14:paraId="25D59E29" w14:textId="1E8DDF0B" w:rsidR="009D70F5" w:rsidRPr="002F0C3B" w:rsidRDefault="009D70F5" w:rsidP="00042053">
                    <w:pPr>
                      <w:spacing w:before="0" w:after="0"/>
                      <w:jc w:val="center"/>
                      <w:rPr>
                        <w:rFonts w:ascii="Arial" w:hAnsi="Arial" w:cs="Arial"/>
                        <w:b/>
                        <w:color w:val="FF0000"/>
                        <w:sz w:val="24"/>
                      </w:rPr>
                    </w:pPr>
                    <w:r w:rsidRPr="002F0C3B">
                      <w:rPr>
                        <w:rFonts w:ascii="Arial" w:hAnsi="Arial" w:cs="Arial"/>
                        <w:b/>
                        <w:color w:val="FF0000"/>
                        <w:sz w:val="24"/>
                      </w:rPr>
                      <w:fldChar w:fldCharType="begin"/>
                    </w:r>
                    <w:r w:rsidRPr="002F0C3B">
                      <w:rPr>
                        <w:rFonts w:ascii="Arial" w:hAnsi="Arial" w:cs="Arial"/>
                        <w:b/>
                        <w:color w:val="FF0000"/>
                        <w:sz w:val="24"/>
                      </w:rPr>
                      <w:instrText xml:space="preserve"> DOCPROPERTY PM_ProtectiveMarkingValue_Header \* MERGEFORMAT </w:instrText>
                    </w:r>
                    <w:r w:rsidRPr="002F0C3B">
                      <w:rPr>
                        <w:rFonts w:ascii="Arial" w:hAnsi="Arial" w:cs="Arial"/>
                        <w:b/>
                        <w:color w:val="FF0000"/>
                        <w:sz w:val="24"/>
                      </w:rPr>
                      <w:fldChar w:fldCharType="separate"/>
                    </w:r>
                    <w:r w:rsidR="00ED5ABD">
                      <w:rPr>
                        <w:rFonts w:ascii="Arial" w:hAnsi="Arial" w:cs="Arial"/>
                        <w:b/>
                        <w:color w:val="FF0000"/>
                        <w:sz w:val="24"/>
                      </w:rPr>
                      <w:t>OFFICIAL</w:t>
                    </w:r>
                    <w:r w:rsidRPr="002F0C3B">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7BE46899" wp14:editId="048D9EEF">
              <wp:extent cx="1891665" cy="250190"/>
              <wp:effectExtent l="0" t="0" r="0" b="0"/>
              <wp:docPr id="664" name="Text Box 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2148F0" w14:textId="43B26563" w:rsidR="009D70F5" w:rsidRPr="00C50A3E" w:rsidRDefault="009D70F5" w:rsidP="00042053">
                          <w:pPr>
                            <w:spacing w:before="0" w:after="0"/>
                            <w:jc w:val="center"/>
                            <w:rPr>
                              <w:rFonts w:ascii="Arial" w:hAnsi="Arial" w:cs="Arial"/>
                              <w:b/>
                              <w:color w:val="FF0000"/>
                              <w:sz w:val="24"/>
                            </w:rPr>
                          </w:pPr>
                          <w:r w:rsidRPr="00C50A3E">
                            <w:rPr>
                              <w:rFonts w:ascii="Arial" w:hAnsi="Arial" w:cs="Arial"/>
                              <w:b/>
                              <w:color w:val="FF0000"/>
                              <w:sz w:val="24"/>
                            </w:rPr>
                            <w:fldChar w:fldCharType="begin"/>
                          </w:r>
                          <w:r w:rsidRPr="00C50A3E">
                            <w:rPr>
                              <w:rFonts w:ascii="Arial" w:hAnsi="Arial" w:cs="Arial"/>
                              <w:b/>
                              <w:color w:val="FF0000"/>
                              <w:sz w:val="24"/>
                            </w:rPr>
                            <w:instrText xml:space="preserve"> DOCPROPERTY PM_ProtectiveMarkingValue_Header \* MERGEFORMAT </w:instrText>
                          </w:r>
                          <w:r w:rsidRPr="00C50A3E">
                            <w:rPr>
                              <w:rFonts w:ascii="Arial" w:hAnsi="Arial" w:cs="Arial"/>
                              <w:b/>
                              <w:color w:val="FF0000"/>
                              <w:sz w:val="24"/>
                            </w:rPr>
                            <w:fldChar w:fldCharType="separate"/>
                          </w:r>
                          <w:r w:rsidR="00ED5ABD">
                            <w:rPr>
                              <w:rFonts w:ascii="Arial" w:hAnsi="Arial" w:cs="Arial"/>
                              <w:b/>
                              <w:color w:val="FF0000"/>
                              <w:sz w:val="24"/>
                            </w:rPr>
                            <w:t>OFFICIAL</w:t>
                          </w:r>
                          <w:r w:rsidRPr="00C50A3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7BE46899" id="Text Box 664" o:spid="_x0000_s1032"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qV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oTzHhuoD7iegyPz3vJlizOsmA8v&#10;zCHVuBHKNzzjIRVgLzhZlDTgfn/0P8YjA+ilpEPpVNSgtilRPw0yMy1Go6i0dBmNvw3x4m49m1uP&#10;2ekHQG0W+EwsT2aMD+psSgf6DTW+iD3RxQzHzhUNZ/MhHOWMb4SLxSIFobYsCyuztjyWjphGfF/7&#10;N+bsiYSA9D3BWWKsfMfFMTZmervYBWQkERVRPmJ6Ah91mfg7vaEo/Nt7irq+9Pkf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CvtqVGAIAADEEAAAOAAAAAAAAAAAAAAAAAC4CAABkcnMvZTJvRG9jLnhtbFBLAQItABQABgAI&#10;AAAAIQA+BAuX3AAAAAQBAAAPAAAAAAAAAAAAAAAAAHIEAABkcnMvZG93bnJldi54bWxQSwUGAAAA&#10;AAQABADzAAAAewUAAAAA&#10;" filled="f" stroked="f" strokeweight=".5pt">
              <v:textbox style="mso-fit-shape-to-text:t">
                <w:txbxContent>
                  <w:p w14:paraId="0F2148F0" w14:textId="43B26563" w:rsidR="009D70F5" w:rsidRPr="00C50A3E" w:rsidRDefault="009D70F5" w:rsidP="00042053">
                    <w:pPr>
                      <w:spacing w:before="0" w:after="0"/>
                      <w:jc w:val="center"/>
                      <w:rPr>
                        <w:rFonts w:ascii="Arial" w:hAnsi="Arial" w:cs="Arial"/>
                        <w:b/>
                        <w:color w:val="FF0000"/>
                        <w:sz w:val="24"/>
                      </w:rPr>
                    </w:pPr>
                    <w:r w:rsidRPr="00C50A3E">
                      <w:rPr>
                        <w:rFonts w:ascii="Arial" w:hAnsi="Arial" w:cs="Arial"/>
                        <w:b/>
                        <w:color w:val="FF0000"/>
                        <w:sz w:val="24"/>
                      </w:rPr>
                      <w:fldChar w:fldCharType="begin"/>
                    </w:r>
                    <w:r w:rsidRPr="00C50A3E">
                      <w:rPr>
                        <w:rFonts w:ascii="Arial" w:hAnsi="Arial" w:cs="Arial"/>
                        <w:b/>
                        <w:color w:val="FF0000"/>
                        <w:sz w:val="24"/>
                      </w:rPr>
                      <w:instrText xml:space="preserve"> DOCPROPERTY PM_ProtectiveMarkingValue_Header \* MERGEFORMAT </w:instrText>
                    </w:r>
                    <w:r w:rsidRPr="00C50A3E">
                      <w:rPr>
                        <w:rFonts w:ascii="Arial" w:hAnsi="Arial" w:cs="Arial"/>
                        <w:b/>
                        <w:color w:val="FF0000"/>
                        <w:sz w:val="24"/>
                      </w:rPr>
                      <w:fldChar w:fldCharType="separate"/>
                    </w:r>
                    <w:r w:rsidR="00ED5ABD">
                      <w:rPr>
                        <w:rFonts w:ascii="Arial" w:hAnsi="Arial" w:cs="Arial"/>
                        <w:b/>
                        <w:color w:val="FF0000"/>
                        <w:sz w:val="24"/>
                      </w:rPr>
                      <w:t>OFFICIAL</w:t>
                    </w:r>
                    <w:r w:rsidRPr="00C50A3E">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4816F949" wp14:editId="346643C8">
              <wp:extent cx="1397000" cy="457200"/>
              <wp:effectExtent l="0" t="0" r="12700" b="19050"/>
              <wp:docPr id="639" name="Text Box 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AF7E1F4"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4816F949" id="Text Box 639" o:spid="_x0000_s1033"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w7LA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kt4d+91AdUAYHPQT4i1fKgy/Yj68MIcjge3hmIdnPKQGrAkGiZIa3K+/vUd7ZAq1lLQ4YiX1P3fM&#10;CUr0N4Mc3o8nkziT6ZJwo8RdajaXGrNrFoCNjnGhLE8iOrugj6J00LzhNsxjVlQxwzF3ScNRXIR+&#10;8HGbuJjPkxFOoWVhZdaWx9BHWF+7N+bsQFdAop/gOIyseMdab9vzNt8FkCpRGnHuUR3gxwlOQzFs&#10;W1yRy3uyOv8TZr8B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iBhw7LAIAAFsEAAAOAAAAAAAAAAAAAAAAAC4CAABkcnMvZTJv&#10;RG9jLnhtbFBLAQItABQABgAIAAAAIQCQEPlk2gAAAAQBAAAPAAAAAAAAAAAAAAAAAIYEAABkcnMv&#10;ZG93bnJldi54bWxQSwUGAAAAAAQABADzAAAAjQUAAAAA&#10;" filled="f" strokeweight=".5pt">
              <v:textbox>
                <w:txbxContent>
                  <w:p w14:paraId="0AF7E1F4" w14:textId="77777777" w:rsidR="009D70F5" w:rsidRDefault="009D70F5"/>
                </w:txbxContent>
              </v:textbox>
              <w10:anchorlock/>
            </v:shape>
          </w:pict>
        </mc:Fallback>
      </mc:AlternateContent>
    </w:r>
    <w:r>
      <w:rPr>
        <w:noProof/>
      </w:rPr>
      <mc:AlternateContent>
        <mc:Choice Requires="wps">
          <w:drawing>
            <wp:inline distT="0" distB="0" distL="0" distR="0" wp14:anchorId="52431676" wp14:editId="72C19FA8">
              <wp:extent cx="1397000" cy="457200"/>
              <wp:effectExtent l="0" t="0" r="12700" b="19050"/>
              <wp:docPr id="614" name="Text Box 6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2A3FB0C"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52431676" id="Text Box 614" o:spid="_x0000_s1034"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lgKwIAAFs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pK&#10;envodw3VHmFw0E+It3ypMPwj8+GFORwJbA/HPDzjITVgTTBIlNTgfv3tPdojU6ilpMURK6n/uWVO&#10;UKK/G+TwbjyZxJlMl4QbJe5csz7XmG2zAGx0jAtleRLR2QV9EKWD5h23YR6zoooZjrlLGg7iIvSD&#10;j9vExXyejHAKLQuPZmV5DH2A9bV7Z84OdAUk+gkOw8iKD6z1tj1v820AqRKlEece1QF+nOA0FMO2&#10;xRU5vyer0z9h9hs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KGfqWArAgAAWwQAAA4AAAAAAAAAAAAAAAAALgIAAGRycy9lMm9E&#10;b2MueG1sUEsBAi0AFAAGAAgAAAAhAJAQ+WTaAAAABAEAAA8AAAAAAAAAAAAAAAAAhQQAAGRycy9k&#10;b3ducmV2LnhtbFBLBQYAAAAABAAEAPMAAACMBQAAAAA=&#10;" filled="f" strokeweight=".5pt">
              <v:textbox>
                <w:txbxContent>
                  <w:p w14:paraId="62A3FB0C" w14:textId="77777777" w:rsidR="009D70F5" w:rsidRDefault="009D70F5"/>
                </w:txbxContent>
              </v:textbox>
              <w10:anchorlock/>
            </v:shape>
          </w:pict>
        </mc:Fallback>
      </mc:AlternateContent>
    </w:r>
    <w:r>
      <w:rPr>
        <w:noProof/>
      </w:rPr>
      <mc:AlternateContent>
        <mc:Choice Requires="wps">
          <w:drawing>
            <wp:inline distT="0" distB="0" distL="0" distR="0" wp14:anchorId="0916D45D" wp14:editId="4BDDAFA7">
              <wp:extent cx="1891665" cy="250190"/>
              <wp:effectExtent l="0" t="0" r="0" b="0"/>
              <wp:docPr id="589" name="Text Box 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E2D80C" w14:textId="2DE8703E" w:rsidR="009D70F5" w:rsidRDefault="009D70F5" w:rsidP="00042053">
                          <w:pPr>
                            <w:spacing w:before="0" w:after="0"/>
                            <w:jc w:val="center"/>
                            <w:rPr>
                              <w:rFonts w:ascii="Arial" w:hAnsi="Arial" w:cs="Arial"/>
                              <w:b/>
                              <w:color w:val="FF0000"/>
                              <w:sz w:val="24"/>
                            </w:rPr>
                          </w:pPr>
                          <w:r w:rsidRPr="00C92192">
                            <w:rPr>
                              <w:rFonts w:ascii="Arial" w:hAnsi="Arial" w:cs="Arial"/>
                              <w:b/>
                              <w:color w:val="FF0000"/>
                              <w:sz w:val="24"/>
                            </w:rPr>
                            <w:fldChar w:fldCharType="begin"/>
                          </w:r>
                          <w:r w:rsidRPr="00C92192">
                            <w:rPr>
                              <w:rFonts w:ascii="Arial" w:hAnsi="Arial" w:cs="Arial"/>
                              <w:b/>
                              <w:color w:val="FF0000"/>
                              <w:sz w:val="24"/>
                            </w:rPr>
                            <w:instrText xml:space="preserve"> DOCPROPERTY PM_ProtectiveMarkingValue_Header \* MERGEFORMAT </w:instrText>
                          </w:r>
                          <w:r w:rsidRPr="00C92192">
                            <w:rPr>
                              <w:rFonts w:ascii="Arial" w:hAnsi="Arial" w:cs="Arial"/>
                              <w:b/>
                              <w:color w:val="FF0000"/>
                              <w:sz w:val="24"/>
                            </w:rPr>
                            <w:fldChar w:fldCharType="separate"/>
                          </w:r>
                          <w:r w:rsidR="00ED5ABD">
                            <w:rPr>
                              <w:rFonts w:ascii="Arial" w:hAnsi="Arial" w:cs="Arial"/>
                              <w:b/>
                              <w:color w:val="FF0000"/>
                              <w:sz w:val="24"/>
                            </w:rPr>
                            <w:t>OFFICIAL</w:t>
                          </w:r>
                          <w:r w:rsidRPr="00C92192">
                            <w:rPr>
                              <w:rFonts w:ascii="Arial" w:hAnsi="Arial" w:cs="Arial"/>
                              <w:b/>
                              <w:color w:val="FF0000"/>
                              <w:sz w:val="24"/>
                            </w:rPr>
                            <w:fldChar w:fldCharType="end"/>
                          </w:r>
                        </w:p>
                        <w:p w14:paraId="64871248" w14:textId="77777777" w:rsidR="009D70F5" w:rsidRPr="00C92192" w:rsidRDefault="009D70F5" w:rsidP="00042053">
                          <w:pPr>
                            <w:spacing w:before="0" w:after="0"/>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0916D45D" id="Text Box 589" o:spid="_x0000_s1035"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XJ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0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S9ZXJGAIAADEEAAAOAAAAAAAAAAAAAAAAAC4CAABkcnMvZTJvRG9jLnhtbFBLAQItABQABgAI&#10;AAAAIQA+BAuX3AAAAAQBAAAPAAAAAAAAAAAAAAAAAHIEAABkcnMvZG93bnJldi54bWxQSwUGAAAA&#10;AAQABADzAAAAewUAAAAA&#10;" filled="f" stroked="f" strokeweight=".5pt">
              <v:textbox style="mso-fit-shape-to-text:t">
                <w:txbxContent>
                  <w:p w14:paraId="47E2D80C" w14:textId="2DE8703E" w:rsidR="009D70F5" w:rsidRDefault="009D70F5" w:rsidP="00042053">
                    <w:pPr>
                      <w:spacing w:before="0" w:after="0"/>
                      <w:jc w:val="center"/>
                      <w:rPr>
                        <w:rFonts w:ascii="Arial" w:hAnsi="Arial" w:cs="Arial"/>
                        <w:b/>
                        <w:color w:val="FF0000"/>
                        <w:sz w:val="24"/>
                      </w:rPr>
                    </w:pPr>
                    <w:r w:rsidRPr="00C92192">
                      <w:rPr>
                        <w:rFonts w:ascii="Arial" w:hAnsi="Arial" w:cs="Arial"/>
                        <w:b/>
                        <w:color w:val="FF0000"/>
                        <w:sz w:val="24"/>
                      </w:rPr>
                      <w:fldChar w:fldCharType="begin"/>
                    </w:r>
                    <w:r w:rsidRPr="00C92192">
                      <w:rPr>
                        <w:rFonts w:ascii="Arial" w:hAnsi="Arial" w:cs="Arial"/>
                        <w:b/>
                        <w:color w:val="FF0000"/>
                        <w:sz w:val="24"/>
                      </w:rPr>
                      <w:instrText xml:space="preserve"> DOCPROPERTY PM_ProtectiveMarkingValue_Header \* MERGEFORMAT </w:instrText>
                    </w:r>
                    <w:r w:rsidRPr="00C92192">
                      <w:rPr>
                        <w:rFonts w:ascii="Arial" w:hAnsi="Arial" w:cs="Arial"/>
                        <w:b/>
                        <w:color w:val="FF0000"/>
                        <w:sz w:val="24"/>
                      </w:rPr>
                      <w:fldChar w:fldCharType="separate"/>
                    </w:r>
                    <w:r w:rsidR="00ED5ABD">
                      <w:rPr>
                        <w:rFonts w:ascii="Arial" w:hAnsi="Arial" w:cs="Arial"/>
                        <w:b/>
                        <w:color w:val="FF0000"/>
                        <w:sz w:val="24"/>
                      </w:rPr>
                      <w:t>OFFICIAL</w:t>
                    </w:r>
                    <w:r w:rsidRPr="00C92192">
                      <w:rPr>
                        <w:rFonts w:ascii="Arial" w:hAnsi="Arial" w:cs="Arial"/>
                        <w:b/>
                        <w:color w:val="FF0000"/>
                        <w:sz w:val="24"/>
                      </w:rPr>
                      <w:fldChar w:fldCharType="end"/>
                    </w:r>
                  </w:p>
                  <w:p w14:paraId="64871248" w14:textId="77777777" w:rsidR="009D70F5" w:rsidRPr="00C92192" w:rsidRDefault="009D70F5" w:rsidP="00042053">
                    <w:pPr>
                      <w:spacing w:before="0" w:after="0"/>
                      <w:jc w:val="center"/>
                      <w:rPr>
                        <w:rFonts w:ascii="Arial" w:hAnsi="Arial" w:cs="Arial"/>
                        <w:b/>
                        <w:color w:val="FF0000"/>
                        <w:sz w:val="24"/>
                      </w:rPr>
                    </w:pPr>
                  </w:p>
                </w:txbxContent>
              </v:textbox>
              <w10:anchorlock/>
            </v:shape>
          </w:pict>
        </mc:Fallback>
      </mc:AlternateContent>
    </w:r>
    <w:r>
      <w:rPr>
        <w:noProof/>
      </w:rPr>
      <mc:AlternateContent>
        <mc:Choice Requires="wps">
          <w:drawing>
            <wp:inline distT="0" distB="0" distL="0" distR="0" wp14:anchorId="12A87888" wp14:editId="6424AB3B">
              <wp:extent cx="1397000" cy="457200"/>
              <wp:effectExtent l="0" t="0" r="12700" b="19050"/>
              <wp:docPr id="564" name="Text Box 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CD550C3"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12A87888" id="Text Box 564" o:spid="_x0000_s1036"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EY/SSgrAgAAXAQAAA4AAAAAAAAAAAAAAAAALgIAAGRycy9lMm9E&#10;b2MueG1sUEsBAi0AFAAGAAgAAAAhAJAQ+WTaAAAABAEAAA8AAAAAAAAAAAAAAAAAhQQAAGRycy9k&#10;b3ducmV2LnhtbFBLBQYAAAAABAAEAPMAAACMBQAAAAA=&#10;" filled="f" strokeweight=".5pt">
              <v:textbox>
                <w:txbxContent>
                  <w:p w14:paraId="2CD550C3" w14:textId="77777777" w:rsidR="009D70F5" w:rsidRDefault="009D70F5"/>
                </w:txbxContent>
              </v:textbox>
              <w10:anchorlock/>
            </v:shape>
          </w:pict>
        </mc:Fallback>
      </mc:AlternateContent>
    </w:r>
    <w:r>
      <w:rPr>
        <w:noProof/>
      </w:rPr>
      <mc:AlternateContent>
        <mc:Choice Requires="wps">
          <w:drawing>
            <wp:inline distT="0" distB="0" distL="0" distR="0" wp14:anchorId="6DC9EE9E" wp14:editId="76D40AB9">
              <wp:extent cx="1397000" cy="457200"/>
              <wp:effectExtent l="0" t="0" r="12700" b="19050"/>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E88254E"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6DC9EE9E" id="Text Box 1" o:spid="_x0000_s1037"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b9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8AaqA+LgoB8Rb/lSYfwV8+GFOZwJ7A/nPDzjITVgUTBIlNTgfv3tPdojVailpMUZK6n/uWNO&#10;UKK/GSTxfjyZxKFMlwQcJe5Ss7nUmF2zAOx0jBtleRLR2QV9FKWD5g3XYR6zoooZjrlLGo7iIvST&#10;j+vExXyejHAMLQsrs7Y8hj7i+tq9MWcHvgIy/QTHaWTFO9p62564+S6AVInTCHSP6oA/jnCaimHd&#10;4o5c3pPV+ac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DmNBv0rAgAAXAQAAA4AAAAAAAAAAAAAAAAALgIAAGRycy9lMm9E&#10;b2MueG1sUEsBAi0AFAAGAAgAAAAhAJAQ+WTaAAAABAEAAA8AAAAAAAAAAAAAAAAAhQQAAGRycy9k&#10;b3ducmV2LnhtbFBLBQYAAAAABAAEAPMAAACMBQAAAAA=&#10;" filled="f" strokeweight=".5pt">
              <v:textbox>
                <w:txbxContent>
                  <w:p w14:paraId="0E88254E" w14:textId="77777777" w:rsidR="009D70F5" w:rsidRDefault="009D70F5"/>
                </w:txbxContent>
              </v:textbox>
              <w10:anchorlock/>
            </v:shape>
          </w:pict>
        </mc:Fallback>
      </mc:AlternateContent>
    </w:r>
    <w:r>
      <w:rPr>
        <w:noProof/>
      </w:rPr>
      <mc:AlternateContent>
        <mc:Choice Requires="wps">
          <w:drawing>
            <wp:inline distT="0" distB="0" distL="0" distR="0" wp14:anchorId="3FAC47A1" wp14:editId="4F44BF08">
              <wp:extent cx="1397000" cy="457200"/>
              <wp:effectExtent l="0" t="0" r="12700" b="19050"/>
              <wp:docPr id="514" name="Text Box 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80BDA5C"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3FAC47A1" id="Text Box 514" o:spid="_x0000_s1038"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dZLA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EV&#10;lj4ZGt5AdUAcHPQj4i1fKYz/yHx4YQ5nAvvDOQ/PeEgNWBQcJUpqcL/+9h7tkSrUUtLijJXU/9wx&#10;JyjR3wySeDeeTuNQpksCjhJ3qdlcasyuWQJ2OsaNsjyJ6OyCHkTpoHnDdVjErKhihmPukoZBXIZ+&#10;8nGduFgskhGOoWXh0awtj6EHXF+7N+bska+ATD/BMI2seEdbb9sTt9gFkCpxGoHuUT3ijyOcpuK4&#10;bnFHLu/J6vxTmP8G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5XadZLAIAAFwEAAAOAAAAAAAAAAAAAAAAAC4CAABkcnMvZTJv&#10;RG9jLnhtbFBLAQItABQABgAIAAAAIQCQEPlk2gAAAAQBAAAPAAAAAAAAAAAAAAAAAIYEAABkcnMv&#10;ZG93bnJldi54bWxQSwUGAAAAAAQABADzAAAAjQUAAAAA&#10;" filled="f" strokeweight=".5pt">
              <v:textbox>
                <w:txbxContent>
                  <w:p w14:paraId="180BDA5C" w14:textId="77777777" w:rsidR="009D70F5" w:rsidRDefault="009D70F5"/>
                </w:txbxContent>
              </v:textbox>
              <w10:anchorlock/>
            </v:shape>
          </w:pict>
        </mc:Fallback>
      </mc:AlternateContent>
    </w:r>
    <w:r>
      <w:rPr>
        <w:noProof/>
      </w:rPr>
      <mc:AlternateContent>
        <mc:Choice Requires="wps">
          <w:drawing>
            <wp:inline distT="0" distB="0" distL="0" distR="0" wp14:anchorId="1B61840E" wp14:editId="0713C104">
              <wp:extent cx="1891665" cy="250190"/>
              <wp:effectExtent l="0" t="0" r="0" b="0"/>
              <wp:docPr id="448" name="Text Box 4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C4B7AB" w14:textId="4926B5DE" w:rsidR="009D70F5" w:rsidRPr="00C7407C" w:rsidRDefault="009D70F5" w:rsidP="00042053">
                          <w:pPr>
                            <w:spacing w:before="0" w:after="0"/>
                            <w:jc w:val="center"/>
                            <w:rPr>
                              <w:rFonts w:ascii="Arial" w:hAnsi="Arial" w:cs="Arial"/>
                              <w:b/>
                              <w:color w:val="FF0000"/>
                              <w:sz w:val="24"/>
                            </w:rPr>
                          </w:pPr>
                          <w:r w:rsidRPr="00C7407C">
                            <w:rPr>
                              <w:rFonts w:ascii="Arial" w:hAnsi="Arial" w:cs="Arial"/>
                              <w:b/>
                              <w:color w:val="FF0000"/>
                              <w:sz w:val="24"/>
                            </w:rPr>
                            <w:fldChar w:fldCharType="begin"/>
                          </w:r>
                          <w:r w:rsidRPr="00C7407C">
                            <w:rPr>
                              <w:rFonts w:ascii="Arial" w:hAnsi="Arial" w:cs="Arial"/>
                              <w:b/>
                              <w:color w:val="FF0000"/>
                              <w:sz w:val="24"/>
                            </w:rPr>
                            <w:instrText xml:space="preserve"> DOCPROPERTY PM_ProtectiveMarkingValue_Header \* MERGEFORMAT </w:instrText>
                          </w:r>
                          <w:r w:rsidRPr="00C7407C">
                            <w:rPr>
                              <w:rFonts w:ascii="Arial" w:hAnsi="Arial" w:cs="Arial"/>
                              <w:b/>
                              <w:color w:val="FF0000"/>
                              <w:sz w:val="24"/>
                            </w:rPr>
                            <w:fldChar w:fldCharType="separate"/>
                          </w:r>
                          <w:r w:rsidR="00ED5ABD">
                            <w:rPr>
                              <w:rFonts w:ascii="Arial" w:hAnsi="Arial" w:cs="Arial"/>
                              <w:b/>
                              <w:color w:val="FF0000"/>
                              <w:sz w:val="24"/>
                            </w:rPr>
                            <w:t>OFFICIAL</w:t>
                          </w:r>
                          <w:r w:rsidRPr="00C7407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1B61840E" id="Text Box 448" o:spid="_x0000_s1039"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mdC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40h350U2UB9wPwdH6r3lyxaHWDEf&#10;XplDrnEl1G94wUMqwGZwsihpwP362/8YjxSgl5IOtVNRg+KmRP0wSM20GI2i1NJlNP46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OJpnQhkCAAAyBAAADgAAAAAAAAAAAAAAAAAuAgAAZHJzL2Uyb0RvYy54bWxQSwECLQAUAAYA&#10;CAAAACEAPgQLl9wAAAAEAQAADwAAAAAAAAAAAAAAAABzBAAAZHJzL2Rvd25yZXYueG1sUEsFBgAA&#10;AAAEAAQA8wAAAHwFAAAAAA==&#10;" filled="f" stroked="f" strokeweight=".5pt">
              <v:textbox style="mso-fit-shape-to-text:t">
                <w:txbxContent>
                  <w:p w14:paraId="19C4B7AB" w14:textId="4926B5DE" w:rsidR="009D70F5" w:rsidRPr="00C7407C" w:rsidRDefault="009D70F5" w:rsidP="00042053">
                    <w:pPr>
                      <w:spacing w:before="0" w:after="0"/>
                      <w:jc w:val="center"/>
                      <w:rPr>
                        <w:rFonts w:ascii="Arial" w:hAnsi="Arial" w:cs="Arial"/>
                        <w:b/>
                        <w:color w:val="FF0000"/>
                        <w:sz w:val="24"/>
                      </w:rPr>
                    </w:pPr>
                    <w:r w:rsidRPr="00C7407C">
                      <w:rPr>
                        <w:rFonts w:ascii="Arial" w:hAnsi="Arial" w:cs="Arial"/>
                        <w:b/>
                        <w:color w:val="FF0000"/>
                        <w:sz w:val="24"/>
                      </w:rPr>
                      <w:fldChar w:fldCharType="begin"/>
                    </w:r>
                    <w:r w:rsidRPr="00C7407C">
                      <w:rPr>
                        <w:rFonts w:ascii="Arial" w:hAnsi="Arial" w:cs="Arial"/>
                        <w:b/>
                        <w:color w:val="FF0000"/>
                        <w:sz w:val="24"/>
                      </w:rPr>
                      <w:instrText xml:space="preserve"> DOCPROPERTY PM_ProtectiveMarkingValue_Header \* MERGEFORMAT </w:instrText>
                    </w:r>
                    <w:r w:rsidRPr="00C7407C">
                      <w:rPr>
                        <w:rFonts w:ascii="Arial" w:hAnsi="Arial" w:cs="Arial"/>
                        <w:b/>
                        <w:color w:val="FF0000"/>
                        <w:sz w:val="24"/>
                      </w:rPr>
                      <w:fldChar w:fldCharType="separate"/>
                    </w:r>
                    <w:r w:rsidR="00ED5ABD">
                      <w:rPr>
                        <w:rFonts w:ascii="Arial" w:hAnsi="Arial" w:cs="Arial"/>
                        <w:b/>
                        <w:color w:val="FF0000"/>
                        <w:sz w:val="24"/>
                      </w:rPr>
                      <w:t>OFFICIAL</w:t>
                    </w:r>
                    <w:r w:rsidRPr="00C7407C">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1BE06536" wp14:editId="0A978949">
              <wp:extent cx="1891665" cy="250190"/>
              <wp:effectExtent l="0" t="0" r="0" b="0"/>
              <wp:docPr id="466" name="Text Box 4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6D019" w14:textId="6D1BDA17" w:rsidR="009D70F5" w:rsidRPr="00843148" w:rsidRDefault="009D70F5" w:rsidP="00042053">
                          <w:pPr>
                            <w:spacing w:before="0" w:after="0"/>
                            <w:jc w:val="center"/>
                            <w:rPr>
                              <w:rFonts w:ascii="Arial" w:hAnsi="Arial" w:cs="Arial"/>
                              <w:b/>
                              <w:color w:val="FF0000"/>
                              <w:sz w:val="24"/>
                            </w:rPr>
                          </w:pPr>
                          <w:r w:rsidRPr="00843148">
                            <w:rPr>
                              <w:rFonts w:ascii="Arial" w:hAnsi="Arial" w:cs="Arial"/>
                              <w:b/>
                              <w:color w:val="FF0000"/>
                              <w:sz w:val="24"/>
                            </w:rPr>
                            <w:fldChar w:fldCharType="begin"/>
                          </w:r>
                          <w:r w:rsidRPr="00843148">
                            <w:rPr>
                              <w:rFonts w:ascii="Arial" w:hAnsi="Arial" w:cs="Arial"/>
                              <w:b/>
                              <w:color w:val="FF0000"/>
                              <w:sz w:val="24"/>
                            </w:rPr>
                            <w:instrText xml:space="preserve"> DOCPROPERTY PM_ProtectiveMarkingValue_Header \* MERGEFORMAT </w:instrText>
                          </w:r>
                          <w:r w:rsidRPr="00843148">
                            <w:rPr>
                              <w:rFonts w:ascii="Arial" w:hAnsi="Arial" w:cs="Arial"/>
                              <w:b/>
                              <w:color w:val="FF0000"/>
                              <w:sz w:val="24"/>
                            </w:rPr>
                            <w:fldChar w:fldCharType="separate"/>
                          </w:r>
                          <w:r w:rsidR="00ED5ABD">
                            <w:rPr>
                              <w:rFonts w:ascii="Arial" w:hAnsi="Arial" w:cs="Arial"/>
                              <w:b/>
                              <w:color w:val="FF0000"/>
                              <w:sz w:val="24"/>
                            </w:rPr>
                            <w:t>OFFICIAL</w:t>
                          </w:r>
                          <w:r w:rsidRPr="008431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1BE06536" id="Text Box 466" o:spid="_x0000_s1040"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Mi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F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u0zIhkCAAAyBAAADgAAAAAAAAAAAAAAAAAuAgAAZHJzL2Uyb0RvYy54bWxQSwECLQAUAAYA&#10;CAAAACEAPgQLl9wAAAAEAQAADwAAAAAAAAAAAAAAAABzBAAAZHJzL2Rvd25yZXYueG1sUEsFBgAA&#10;AAAEAAQA8wAAAHwFAAAAAA==&#10;" filled="f" stroked="f" strokeweight=".5pt">
              <v:textbox style="mso-fit-shape-to-text:t">
                <w:txbxContent>
                  <w:p w14:paraId="2AC6D019" w14:textId="6D1BDA17" w:rsidR="009D70F5" w:rsidRPr="00843148" w:rsidRDefault="009D70F5" w:rsidP="00042053">
                    <w:pPr>
                      <w:spacing w:before="0" w:after="0"/>
                      <w:jc w:val="center"/>
                      <w:rPr>
                        <w:rFonts w:ascii="Arial" w:hAnsi="Arial" w:cs="Arial"/>
                        <w:b/>
                        <w:color w:val="FF0000"/>
                        <w:sz w:val="24"/>
                      </w:rPr>
                    </w:pPr>
                    <w:r w:rsidRPr="00843148">
                      <w:rPr>
                        <w:rFonts w:ascii="Arial" w:hAnsi="Arial" w:cs="Arial"/>
                        <w:b/>
                        <w:color w:val="FF0000"/>
                        <w:sz w:val="24"/>
                      </w:rPr>
                      <w:fldChar w:fldCharType="begin"/>
                    </w:r>
                    <w:r w:rsidRPr="00843148">
                      <w:rPr>
                        <w:rFonts w:ascii="Arial" w:hAnsi="Arial" w:cs="Arial"/>
                        <w:b/>
                        <w:color w:val="FF0000"/>
                        <w:sz w:val="24"/>
                      </w:rPr>
                      <w:instrText xml:space="preserve"> DOCPROPERTY PM_ProtectiveMarkingValue_Header \* MERGEFORMAT </w:instrText>
                    </w:r>
                    <w:r w:rsidRPr="00843148">
                      <w:rPr>
                        <w:rFonts w:ascii="Arial" w:hAnsi="Arial" w:cs="Arial"/>
                        <w:b/>
                        <w:color w:val="FF0000"/>
                        <w:sz w:val="24"/>
                      </w:rPr>
                      <w:fldChar w:fldCharType="separate"/>
                    </w:r>
                    <w:r w:rsidR="00ED5ABD">
                      <w:rPr>
                        <w:rFonts w:ascii="Arial" w:hAnsi="Arial" w:cs="Arial"/>
                        <w:b/>
                        <w:color w:val="FF0000"/>
                        <w:sz w:val="24"/>
                      </w:rPr>
                      <w:t>OFFICIAL</w:t>
                    </w:r>
                    <w:r w:rsidRPr="00843148">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727A5FA0" wp14:editId="5BB38079">
              <wp:extent cx="1891665" cy="250190"/>
              <wp:effectExtent l="0" t="0" r="0" b="0"/>
              <wp:docPr id="441" name="Text Box 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2A12AB" w14:textId="608A9964" w:rsidR="009D70F5" w:rsidRPr="005F40AD" w:rsidRDefault="009D70F5" w:rsidP="00042053">
                          <w:pPr>
                            <w:spacing w:before="0" w:after="0"/>
                            <w:jc w:val="center"/>
                            <w:rPr>
                              <w:rFonts w:ascii="Arial" w:hAnsi="Arial" w:cs="Arial"/>
                              <w:b/>
                              <w:color w:val="FF0000"/>
                              <w:sz w:val="24"/>
                            </w:rPr>
                          </w:pPr>
                          <w:r w:rsidRPr="005F40AD">
                            <w:rPr>
                              <w:rFonts w:ascii="Arial" w:hAnsi="Arial" w:cs="Arial"/>
                              <w:b/>
                              <w:color w:val="FF0000"/>
                              <w:sz w:val="24"/>
                            </w:rPr>
                            <w:fldChar w:fldCharType="begin"/>
                          </w:r>
                          <w:r w:rsidRPr="005F40AD">
                            <w:rPr>
                              <w:rFonts w:ascii="Arial" w:hAnsi="Arial" w:cs="Arial"/>
                              <w:b/>
                              <w:color w:val="FF0000"/>
                              <w:sz w:val="24"/>
                            </w:rPr>
                            <w:instrText xml:space="preserve"> DOCPROPERTY PM_ProtectiveMarkingValue_Header \* MERGEFORMAT </w:instrText>
                          </w:r>
                          <w:r w:rsidRPr="005F40AD">
                            <w:rPr>
                              <w:rFonts w:ascii="Arial" w:hAnsi="Arial" w:cs="Arial"/>
                              <w:b/>
                              <w:color w:val="FF0000"/>
                              <w:sz w:val="24"/>
                            </w:rPr>
                            <w:fldChar w:fldCharType="separate"/>
                          </w:r>
                          <w:r w:rsidR="00ED5ABD">
                            <w:rPr>
                              <w:rFonts w:ascii="Arial" w:hAnsi="Arial" w:cs="Arial"/>
                              <w:b/>
                              <w:color w:val="FF0000"/>
                              <w:sz w:val="24"/>
                            </w:rPr>
                            <w:t>OFFICIAL</w:t>
                          </w:r>
                          <w:r w:rsidRPr="005F40AD">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727A5FA0" id="Text Box 441" o:spid="_x0000_s1041"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S+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H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MkjUvhkCAAAyBAAADgAAAAAAAAAAAAAAAAAuAgAAZHJzL2Uyb0RvYy54bWxQSwECLQAUAAYA&#10;CAAAACEAPgQLl9wAAAAEAQAADwAAAAAAAAAAAAAAAABzBAAAZHJzL2Rvd25yZXYueG1sUEsFBgAA&#10;AAAEAAQA8wAAAHwFAAAAAA==&#10;" filled="f" stroked="f" strokeweight=".5pt">
              <v:textbox style="mso-fit-shape-to-text:t">
                <w:txbxContent>
                  <w:p w14:paraId="282A12AB" w14:textId="608A9964" w:rsidR="009D70F5" w:rsidRPr="005F40AD" w:rsidRDefault="009D70F5" w:rsidP="00042053">
                    <w:pPr>
                      <w:spacing w:before="0" w:after="0"/>
                      <w:jc w:val="center"/>
                      <w:rPr>
                        <w:rFonts w:ascii="Arial" w:hAnsi="Arial" w:cs="Arial"/>
                        <w:b/>
                        <w:color w:val="FF0000"/>
                        <w:sz w:val="24"/>
                      </w:rPr>
                    </w:pPr>
                    <w:r w:rsidRPr="005F40AD">
                      <w:rPr>
                        <w:rFonts w:ascii="Arial" w:hAnsi="Arial" w:cs="Arial"/>
                        <w:b/>
                        <w:color w:val="FF0000"/>
                        <w:sz w:val="24"/>
                      </w:rPr>
                      <w:fldChar w:fldCharType="begin"/>
                    </w:r>
                    <w:r w:rsidRPr="005F40AD">
                      <w:rPr>
                        <w:rFonts w:ascii="Arial" w:hAnsi="Arial" w:cs="Arial"/>
                        <w:b/>
                        <w:color w:val="FF0000"/>
                        <w:sz w:val="24"/>
                      </w:rPr>
                      <w:instrText xml:space="preserve"> DOCPROPERTY PM_ProtectiveMarkingValue_Header \* MERGEFORMAT </w:instrText>
                    </w:r>
                    <w:r w:rsidRPr="005F40AD">
                      <w:rPr>
                        <w:rFonts w:ascii="Arial" w:hAnsi="Arial" w:cs="Arial"/>
                        <w:b/>
                        <w:color w:val="FF0000"/>
                        <w:sz w:val="24"/>
                      </w:rPr>
                      <w:fldChar w:fldCharType="separate"/>
                    </w:r>
                    <w:r w:rsidR="00ED5ABD">
                      <w:rPr>
                        <w:rFonts w:ascii="Arial" w:hAnsi="Arial" w:cs="Arial"/>
                        <w:b/>
                        <w:color w:val="FF0000"/>
                        <w:sz w:val="24"/>
                      </w:rPr>
                      <w:t>OFFICIAL</w:t>
                    </w:r>
                    <w:r w:rsidRPr="005F40AD">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10548BD5" wp14:editId="1685371C">
              <wp:extent cx="1397000" cy="457200"/>
              <wp:effectExtent l="0" t="0" r="12700" b="19050"/>
              <wp:docPr id="416" name="Text Box 4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38810A5"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10548BD5" id="Text Box 416" o:spid="_x0000_s1042"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HmHu6LAIAAFwEAAAOAAAAAAAAAAAAAAAAAC4CAABkcnMvZTJv&#10;RG9jLnhtbFBLAQItABQABgAIAAAAIQCQEPlk2gAAAAQBAAAPAAAAAAAAAAAAAAAAAIYEAABkcnMv&#10;ZG93bnJldi54bWxQSwUGAAAAAAQABADzAAAAjQUAAAAA&#10;" filled="f" strokeweight=".5pt">
              <v:textbox>
                <w:txbxContent>
                  <w:p w14:paraId="338810A5" w14:textId="77777777" w:rsidR="009D70F5" w:rsidRDefault="009D70F5"/>
                </w:txbxContent>
              </v:textbox>
              <w10:anchorlock/>
            </v:shape>
          </w:pict>
        </mc:Fallback>
      </mc:AlternateContent>
    </w:r>
    <w:r>
      <w:rPr>
        <w:noProof/>
      </w:rPr>
      <mc:AlternateContent>
        <mc:Choice Requires="wps">
          <w:drawing>
            <wp:inline distT="0" distB="0" distL="0" distR="0" wp14:anchorId="0F9FE0A7" wp14:editId="037A11FB">
              <wp:extent cx="1891665" cy="250190"/>
              <wp:effectExtent l="0" t="0" r="0" b="0"/>
              <wp:docPr id="391" name="Text Box 3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1CCEC7" w14:textId="402B870A" w:rsidR="009D70F5" w:rsidRPr="009F755D" w:rsidRDefault="009D70F5" w:rsidP="00042053">
                          <w:pPr>
                            <w:spacing w:before="0" w:after="0"/>
                            <w:jc w:val="center"/>
                            <w:rPr>
                              <w:rFonts w:ascii="Arial" w:hAnsi="Arial" w:cs="Arial"/>
                              <w:b/>
                              <w:color w:val="FF0000"/>
                              <w:sz w:val="24"/>
                            </w:rPr>
                          </w:pPr>
                          <w:r w:rsidRPr="009F755D">
                            <w:rPr>
                              <w:rFonts w:ascii="Arial" w:hAnsi="Arial" w:cs="Arial"/>
                              <w:b/>
                              <w:color w:val="FF0000"/>
                              <w:sz w:val="24"/>
                            </w:rPr>
                            <w:fldChar w:fldCharType="begin"/>
                          </w:r>
                          <w:r w:rsidRPr="009F755D">
                            <w:rPr>
                              <w:rFonts w:ascii="Arial" w:hAnsi="Arial" w:cs="Arial"/>
                              <w:b/>
                              <w:color w:val="FF0000"/>
                              <w:sz w:val="24"/>
                            </w:rPr>
                            <w:instrText xml:space="preserve"> DOCPROPERTY PM_ProtectiveMarkingValue_Header \* MERGEFORMAT </w:instrText>
                          </w:r>
                          <w:r w:rsidRPr="009F755D">
                            <w:rPr>
                              <w:rFonts w:ascii="Arial" w:hAnsi="Arial" w:cs="Arial"/>
                              <w:b/>
                              <w:color w:val="FF0000"/>
                              <w:sz w:val="24"/>
                            </w:rPr>
                            <w:fldChar w:fldCharType="separate"/>
                          </w:r>
                          <w:r w:rsidR="00ED5ABD">
                            <w:rPr>
                              <w:rFonts w:ascii="Arial" w:hAnsi="Arial" w:cs="Arial"/>
                              <w:b/>
                              <w:color w:val="FF0000"/>
                              <w:sz w:val="24"/>
                            </w:rPr>
                            <w:t>OFFICIAL</w:t>
                          </w:r>
                          <w:r w:rsidRPr="009F755D">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0F9FE0A7" id="Text Box 391" o:spid="_x0000_s1043"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pcGQIAADIEAAAOAAAAZHJzL2Uyb0RvYy54bWysU11r2zAUfR/sPwi9L7azJG1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r5Os5TwsWDGcpg4nXWaIV+05O2xpHuzotsoD7gfg6O1HvLly0OsWI+&#10;vDKHXONKqN/wgodUgM3gZFHSgPv1t/8xHilALyUdaqeiBsVNifphkJppMRpFqaXLaHw3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CwRqXBkCAAAyBAAADgAAAAAAAAAAAAAAAAAuAgAAZHJzL2Uyb0RvYy54bWxQSwECLQAUAAYA&#10;CAAAACEAPgQLl9wAAAAEAQAADwAAAAAAAAAAAAAAAABzBAAAZHJzL2Rvd25yZXYueG1sUEsFBgAA&#10;AAAEAAQA8wAAAHwFAAAAAA==&#10;" filled="f" stroked="f" strokeweight=".5pt">
              <v:textbox style="mso-fit-shape-to-text:t">
                <w:txbxContent>
                  <w:p w14:paraId="641CCEC7" w14:textId="402B870A" w:rsidR="009D70F5" w:rsidRPr="009F755D" w:rsidRDefault="009D70F5" w:rsidP="00042053">
                    <w:pPr>
                      <w:spacing w:before="0" w:after="0"/>
                      <w:jc w:val="center"/>
                      <w:rPr>
                        <w:rFonts w:ascii="Arial" w:hAnsi="Arial" w:cs="Arial"/>
                        <w:b/>
                        <w:color w:val="FF0000"/>
                        <w:sz w:val="24"/>
                      </w:rPr>
                    </w:pPr>
                    <w:r w:rsidRPr="009F755D">
                      <w:rPr>
                        <w:rFonts w:ascii="Arial" w:hAnsi="Arial" w:cs="Arial"/>
                        <w:b/>
                        <w:color w:val="FF0000"/>
                        <w:sz w:val="24"/>
                      </w:rPr>
                      <w:fldChar w:fldCharType="begin"/>
                    </w:r>
                    <w:r w:rsidRPr="009F755D">
                      <w:rPr>
                        <w:rFonts w:ascii="Arial" w:hAnsi="Arial" w:cs="Arial"/>
                        <w:b/>
                        <w:color w:val="FF0000"/>
                        <w:sz w:val="24"/>
                      </w:rPr>
                      <w:instrText xml:space="preserve"> DOCPROPERTY PM_ProtectiveMarkingValue_Header \* MERGEFORMAT </w:instrText>
                    </w:r>
                    <w:r w:rsidRPr="009F755D">
                      <w:rPr>
                        <w:rFonts w:ascii="Arial" w:hAnsi="Arial" w:cs="Arial"/>
                        <w:b/>
                        <w:color w:val="FF0000"/>
                        <w:sz w:val="24"/>
                      </w:rPr>
                      <w:fldChar w:fldCharType="separate"/>
                    </w:r>
                    <w:r w:rsidR="00ED5ABD">
                      <w:rPr>
                        <w:rFonts w:ascii="Arial" w:hAnsi="Arial" w:cs="Arial"/>
                        <w:b/>
                        <w:color w:val="FF0000"/>
                        <w:sz w:val="24"/>
                      </w:rPr>
                      <w:t>OFFICIAL</w:t>
                    </w:r>
                    <w:r w:rsidRPr="009F755D">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7D107D35" wp14:editId="7CA04ED7">
              <wp:extent cx="1891665" cy="250190"/>
              <wp:effectExtent l="0" t="0" r="0" b="0"/>
              <wp:docPr id="366" name="Text Box 3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B9D96B" w14:textId="60E8722F" w:rsidR="009D70F5" w:rsidRPr="00462BDC" w:rsidRDefault="009D70F5" w:rsidP="00042053">
                          <w:pPr>
                            <w:spacing w:before="0" w:after="0"/>
                            <w:jc w:val="center"/>
                            <w:rPr>
                              <w:rFonts w:ascii="Arial" w:hAnsi="Arial" w:cs="Arial"/>
                              <w:b/>
                              <w:color w:val="FF0000"/>
                              <w:sz w:val="24"/>
                            </w:rPr>
                          </w:pPr>
                          <w:r w:rsidRPr="00462BDC">
                            <w:rPr>
                              <w:rFonts w:ascii="Arial" w:hAnsi="Arial" w:cs="Arial"/>
                              <w:b/>
                              <w:color w:val="FF0000"/>
                              <w:sz w:val="24"/>
                            </w:rPr>
                            <w:fldChar w:fldCharType="begin"/>
                          </w:r>
                          <w:r w:rsidRPr="00462BDC">
                            <w:rPr>
                              <w:rFonts w:ascii="Arial" w:hAnsi="Arial" w:cs="Arial"/>
                              <w:b/>
                              <w:color w:val="FF0000"/>
                              <w:sz w:val="24"/>
                            </w:rPr>
                            <w:instrText xml:space="preserve"> DOCPROPERTY PM_ProtectiveMarkingValue_Header \* MERGEFORMAT </w:instrText>
                          </w:r>
                          <w:r w:rsidRPr="00462BDC">
                            <w:rPr>
                              <w:rFonts w:ascii="Arial" w:hAnsi="Arial" w:cs="Arial"/>
                              <w:b/>
                              <w:color w:val="FF0000"/>
                              <w:sz w:val="24"/>
                            </w:rPr>
                            <w:fldChar w:fldCharType="separate"/>
                          </w:r>
                          <w:r w:rsidR="00ED5ABD">
                            <w:rPr>
                              <w:rFonts w:ascii="Arial" w:hAnsi="Arial" w:cs="Arial"/>
                              <w:b/>
                              <w:color w:val="FF0000"/>
                              <w:sz w:val="24"/>
                            </w:rPr>
                            <w:t>OFFICIAL</w:t>
                          </w:r>
                          <w:r w:rsidRPr="00462BDC">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7D107D35" id="Text Box 366" o:spid="_x0000_s1044"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UA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jiOdF9lAfcD9HByp95YvWxxixXx4&#10;YQ65xpVQv+EZD6kAm8HJoqQB9/uj/zEeKUAvJR1qp6IGxU2J+mmQmmkxGkWppcto/G2IF3fr2dx6&#10;zE4/AIqzwHdieTJjfFBnUzrQbyjyReyJLmY4dq5oOJsP4ahnfCRcLBYpCMVlWViZteWxdAQ1Avza&#10;vzFnTywE5O8Jzhpj5TsyjrEx09vFLiAliakI8xHTE/oozETg6RFF5d/eU9T1qc//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bTyUAGAIAADIEAAAOAAAAAAAAAAAAAAAAAC4CAABkcnMvZTJvRG9jLnhtbFBLAQItABQABgAI&#10;AAAAIQA+BAuX3AAAAAQBAAAPAAAAAAAAAAAAAAAAAHIEAABkcnMvZG93bnJldi54bWxQSwUGAAAA&#10;AAQABADzAAAAewUAAAAA&#10;" filled="f" stroked="f" strokeweight=".5pt">
              <v:textbox style="mso-fit-shape-to-text:t">
                <w:txbxContent>
                  <w:p w14:paraId="60B9D96B" w14:textId="60E8722F" w:rsidR="009D70F5" w:rsidRPr="00462BDC" w:rsidRDefault="009D70F5" w:rsidP="00042053">
                    <w:pPr>
                      <w:spacing w:before="0" w:after="0"/>
                      <w:jc w:val="center"/>
                      <w:rPr>
                        <w:rFonts w:ascii="Arial" w:hAnsi="Arial" w:cs="Arial"/>
                        <w:b/>
                        <w:color w:val="FF0000"/>
                        <w:sz w:val="24"/>
                      </w:rPr>
                    </w:pPr>
                    <w:r w:rsidRPr="00462BDC">
                      <w:rPr>
                        <w:rFonts w:ascii="Arial" w:hAnsi="Arial" w:cs="Arial"/>
                        <w:b/>
                        <w:color w:val="FF0000"/>
                        <w:sz w:val="24"/>
                      </w:rPr>
                      <w:fldChar w:fldCharType="begin"/>
                    </w:r>
                    <w:r w:rsidRPr="00462BDC">
                      <w:rPr>
                        <w:rFonts w:ascii="Arial" w:hAnsi="Arial" w:cs="Arial"/>
                        <w:b/>
                        <w:color w:val="FF0000"/>
                        <w:sz w:val="24"/>
                      </w:rPr>
                      <w:instrText xml:space="preserve"> DOCPROPERTY PM_ProtectiveMarkingValue_Header \* MERGEFORMAT </w:instrText>
                    </w:r>
                    <w:r w:rsidRPr="00462BDC">
                      <w:rPr>
                        <w:rFonts w:ascii="Arial" w:hAnsi="Arial" w:cs="Arial"/>
                        <w:b/>
                        <w:color w:val="FF0000"/>
                        <w:sz w:val="24"/>
                      </w:rPr>
                      <w:fldChar w:fldCharType="separate"/>
                    </w:r>
                    <w:r w:rsidR="00ED5ABD">
                      <w:rPr>
                        <w:rFonts w:ascii="Arial" w:hAnsi="Arial" w:cs="Arial"/>
                        <w:b/>
                        <w:color w:val="FF0000"/>
                        <w:sz w:val="24"/>
                      </w:rPr>
                      <w:t>OFFICIAL</w:t>
                    </w:r>
                    <w:r w:rsidRPr="00462BDC">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2CFD8039" wp14:editId="142CD6C3">
              <wp:extent cx="1891665" cy="250190"/>
              <wp:effectExtent l="0" t="0" r="0" b="0"/>
              <wp:docPr id="341" name="Text Box 3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5B06E4" w14:textId="50714FF6" w:rsidR="009D70F5" w:rsidRPr="002B1D95" w:rsidRDefault="009D70F5" w:rsidP="00042053">
                          <w:pPr>
                            <w:spacing w:before="0" w:after="0"/>
                            <w:jc w:val="center"/>
                            <w:rPr>
                              <w:rFonts w:ascii="Arial" w:hAnsi="Arial" w:cs="Arial"/>
                              <w:b/>
                              <w:color w:val="FF0000"/>
                              <w:sz w:val="24"/>
                            </w:rPr>
                          </w:pPr>
                          <w:r w:rsidRPr="002B1D95">
                            <w:rPr>
                              <w:rFonts w:ascii="Arial" w:hAnsi="Arial" w:cs="Arial"/>
                              <w:b/>
                              <w:color w:val="FF0000"/>
                              <w:sz w:val="24"/>
                            </w:rPr>
                            <w:fldChar w:fldCharType="begin"/>
                          </w:r>
                          <w:r w:rsidRPr="002B1D95">
                            <w:rPr>
                              <w:rFonts w:ascii="Arial" w:hAnsi="Arial" w:cs="Arial"/>
                              <w:b/>
                              <w:color w:val="FF0000"/>
                              <w:sz w:val="24"/>
                            </w:rPr>
                            <w:instrText xml:space="preserve"> DOCPROPERTY PM_ProtectiveMarkingValue_Header \* MERGEFORMAT </w:instrText>
                          </w:r>
                          <w:r w:rsidRPr="002B1D95">
                            <w:rPr>
                              <w:rFonts w:ascii="Arial" w:hAnsi="Arial" w:cs="Arial"/>
                              <w:b/>
                              <w:color w:val="FF0000"/>
                              <w:sz w:val="24"/>
                            </w:rPr>
                            <w:fldChar w:fldCharType="separate"/>
                          </w:r>
                          <w:r w:rsidR="00ED5ABD">
                            <w:rPr>
                              <w:rFonts w:ascii="Arial" w:hAnsi="Arial" w:cs="Arial"/>
                              <w:b/>
                              <w:color w:val="FF0000"/>
                              <w:sz w:val="24"/>
                            </w:rPr>
                            <w:t>OFFICIAL</w:t>
                          </w:r>
                          <w:r w:rsidRPr="002B1D9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2CFD8039" id="Text Box 341" o:spid="_x0000_s1045"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Kc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pGm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Z+rCnBkCAAAyBAAADgAAAAAAAAAAAAAAAAAuAgAAZHJzL2Uyb0RvYy54bWxQSwECLQAUAAYA&#10;CAAAACEAPgQLl9wAAAAEAQAADwAAAAAAAAAAAAAAAABzBAAAZHJzL2Rvd25yZXYueG1sUEsFBgAA&#10;AAAEAAQA8wAAAHwFAAAAAA==&#10;" filled="f" stroked="f" strokeweight=".5pt">
              <v:textbox style="mso-fit-shape-to-text:t">
                <w:txbxContent>
                  <w:p w14:paraId="4D5B06E4" w14:textId="50714FF6" w:rsidR="009D70F5" w:rsidRPr="002B1D95" w:rsidRDefault="009D70F5" w:rsidP="00042053">
                    <w:pPr>
                      <w:spacing w:before="0" w:after="0"/>
                      <w:jc w:val="center"/>
                      <w:rPr>
                        <w:rFonts w:ascii="Arial" w:hAnsi="Arial" w:cs="Arial"/>
                        <w:b/>
                        <w:color w:val="FF0000"/>
                        <w:sz w:val="24"/>
                      </w:rPr>
                    </w:pPr>
                    <w:r w:rsidRPr="002B1D95">
                      <w:rPr>
                        <w:rFonts w:ascii="Arial" w:hAnsi="Arial" w:cs="Arial"/>
                        <w:b/>
                        <w:color w:val="FF0000"/>
                        <w:sz w:val="24"/>
                      </w:rPr>
                      <w:fldChar w:fldCharType="begin"/>
                    </w:r>
                    <w:r w:rsidRPr="002B1D95">
                      <w:rPr>
                        <w:rFonts w:ascii="Arial" w:hAnsi="Arial" w:cs="Arial"/>
                        <w:b/>
                        <w:color w:val="FF0000"/>
                        <w:sz w:val="24"/>
                      </w:rPr>
                      <w:instrText xml:space="preserve"> DOCPROPERTY PM_ProtectiveMarkingValue_Header \* MERGEFORMAT </w:instrText>
                    </w:r>
                    <w:r w:rsidRPr="002B1D95">
                      <w:rPr>
                        <w:rFonts w:ascii="Arial" w:hAnsi="Arial" w:cs="Arial"/>
                        <w:b/>
                        <w:color w:val="FF0000"/>
                        <w:sz w:val="24"/>
                      </w:rPr>
                      <w:fldChar w:fldCharType="separate"/>
                    </w:r>
                    <w:r w:rsidR="00ED5ABD">
                      <w:rPr>
                        <w:rFonts w:ascii="Arial" w:hAnsi="Arial" w:cs="Arial"/>
                        <w:b/>
                        <w:color w:val="FF0000"/>
                        <w:sz w:val="24"/>
                      </w:rPr>
                      <w:t>OFFICIAL</w:t>
                    </w:r>
                    <w:r w:rsidRPr="002B1D95">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1737B854" wp14:editId="4FA73EEA">
              <wp:extent cx="1891665" cy="250190"/>
              <wp:effectExtent l="0" t="0" r="0" b="0"/>
              <wp:docPr id="317" name="Text Box 3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53D4CF" w14:textId="261576DF" w:rsidR="009D70F5" w:rsidRPr="0064486D" w:rsidRDefault="009D70F5" w:rsidP="00042053">
                          <w:pPr>
                            <w:spacing w:before="0" w:after="0"/>
                            <w:jc w:val="center"/>
                            <w:rPr>
                              <w:rFonts w:ascii="Arial" w:hAnsi="Arial" w:cs="Arial"/>
                              <w:b/>
                              <w:color w:val="FF0000"/>
                              <w:sz w:val="24"/>
                            </w:rPr>
                          </w:pPr>
                          <w:r w:rsidRPr="0064486D">
                            <w:rPr>
                              <w:rFonts w:ascii="Arial" w:hAnsi="Arial" w:cs="Arial"/>
                              <w:b/>
                              <w:color w:val="FF0000"/>
                              <w:sz w:val="24"/>
                            </w:rPr>
                            <w:fldChar w:fldCharType="begin"/>
                          </w:r>
                          <w:r w:rsidRPr="0064486D">
                            <w:rPr>
                              <w:rFonts w:ascii="Arial" w:hAnsi="Arial" w:cs="Arial"/>
                              <w:b/>
                              <w:color w:val="FF0000"/>
                              <w:sz w:val="24"/>
                            </w:rPr>
                            <w:instrText xml:space="preserve"> DOCPROPERTY PM_ProtectiveMarkingValue_Header \* MERGEFORMAT </w:instrText>
                          </w:r>
                          <w:r w:rsidRPr="0064486D">
                            <w:rPr>
                              <w:rFonts w:ascii="Arial" w:hAnsi="Arial" w:cs="Arial"/>
                              <w:b/>
                              <w:color w:val="FF0000"/>
                              <w:sz w:val="24"/>
                            </w:rPr>
                            <w:fldChar w:fldCharType="separate"/>
                          </w:r>
                          <w:r w:rsidR="00ED5ABD">
                            <w:rPr>
                              <w:rFonts w:ascii="Arial" w:hAnsi="Arial" w:cs="Arial"/>
                              <w:b/>
                              <w:color w:val="FF0000"/>
                              <w:sz w:val="24"/>
                            </w:rPr>
                            <w:t>OFFICIAL</w:t>
                          </w:r>
                          <w:r w:rsidRPr="0064486D">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1737B854" id="Text Box 317" o:spid="_x0000_s1046"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b3ipMGAIAADIEAAAOAAAAAAAAAAAAAAAAAC4CAABkcnMvZTJvRG9jLnhtbFBLAQItABQABgAI&#10;AAAAIQA+BAuX3AAAAAQBAAAPAAAAAAAAAAAAAAAAAHIEAABkcnMvZG93bnJldi54bWxQSwUGAAAA&#10;AAQABADzAAAAewUAAAAA&#10;" filled="f" stroked="f" strokeweight=".5pt">
              <v:textbox style="mso-fit-shape-to-text:t">
                <w:txbxContent>
                  <w:p w14:paraId="6053D4CF" w14:textId="261576DF" w:rsidR="009D70F5" w:rsidRPr="0064486D" w:rsidRDefault="009D70F5" w:rsidP="00042053">
                    <w:pPr>
                      <w:spacing w:before="0" w:after="0"/>
                      <w:jc w:val="center"/>
                      <w:rPr>
                        <w:rFonts w:ascii="Arial" w:hAnsi="Arial" w:cs="Arial"/>
                        <w:b/>
                        <w:color w:val="FF0000"/>
                        <w:sz w:val="24"/>
                      </w:rPr>
                    </w:pPr>
                    <w:r w:rsidRPr="0064486D">
                      <w:rPr>
                        <w:rFonts w:ascii="Arial" w:hAnsi="Arial" w:cs="Arial"/>
                        <w:b/>
                        <w:color w:val="FF0000"/>
                        <w:sz w:val="24"/>
                      </w:rPr>
                      <w:fldChar w:fldCharType="begin"/>
                    </w:r>
                    <w:r w:rsidRPr="0064486D">
                      <w:rPr>
                        <w:rFonts w:ascii="Arial" w:hAnsi="Arial" w:cs="Arial"/>
                        <w:b/>
                        <w:color w:val="FF0000"/>
                        <w:sz w:val="24"/>
                      </w:rPr>
                      <w:instrText xml:space="preserve"> DOCPROPERTY PM_ProtectiveMarkingValue_Header \* MERGEFORMAT </w:instrText>
                    </w:r>
                    <w:r w:rsidRPr="0064486D">
                      <w:rPr>
                        <w:rFonts w:ascii="Arial" w:hAnsi="Arial" w:cs="Arial"/>
                        <w:b/>
                        <w:color w:val="FF0000"/>
                        <w:sz w:val="24"/>
                      </w:rPr>
                      <w:fldChar w:fldCharType="separate"/>
                    </w:r>
                    <w:r w:rsidR="00ED5ABD">
                      <w:rPr>
                        <w:rFonts w:ascii="Arial" w:hAnsi="Arial" w:cs="Arial"/>
                        <w:b/>
                        <w:color w:val="FF0000"/>
                        <w:sz w:val="24"/>
                      </w:rPr>
                      <w:t>OFFICIAL</w:t>
                    </w:r>
                    <w:r w:rsidRPr="0064486D">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5E256D06" wp14:editId="5CD46D19">
              <wp:extent cx="1891665" cy="250190"/>
              <wp:effectExtent l="0" t="0" r="0" b="0"/>
              <wp:docPr id="275" name="Text Box 2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81BBE4" w14:textId="207E0F12" w:rsidR="009D70F5" w:rsidRPr="001C0D9A" w:rsidRDefault="009D70F5" w:rsidP="00042053">
                          <w:pPr>
                            <w:spacing w:before="0" w:after="0"/>
                            <w:jc w:val="center"/>
                            <w:rPr>
                              <w:rFonts w:ascii="Arial" w:hAnsi="Arial" w:cs="Arial"/>
                              <w:b/>
                              <w:color w:val="FF0000"/>
                              <w:sz w:val="24"/>
                            </w:rPr>
                          </w:pPr>
                          <w:r w:rsidRPr="001C0D9A">
                            <w:rPr>
                              <w:rFonts w:ascii="Arial" w:hAnsi="Arial" w:cs="Arial"/>
                              <w:b/>
                              <w:color w:val="FF0000"/>
                              <w:sz w:val="24"/>
                            </w:rPr>
                            <w:fldChar w:fldCharType="begin"/>
                          </w:r>
                          <w:r w:rsidRPr="001C0D9A">
                            <w:rPr>
                              <w:rFonts w:ascii="Arial" w:hAnsi="Arial" w:cs="Arial"/>
                              <w:b/>
                              <w:color w:val="FF0000"/>
                              <w:sz w:val="24"/>
                            </w:rPr>
                            <w:instrText xml:space="preserve"> DOCPROPERTY PM_ProtectiveMarkingValue_Header \* MERGEFORMAT </w:instrText>
                          </w:r>
                          <w:r w:rsidRPr="001C0D9A">
                            <w:rPr>
                              <w:rFonts w:ascii="Arial" w:hAnsi="Arial" w:cs="Arial"/>
                              <w:b/>
                              <w:color w:val="FF0000"/>
                              <w:sz w:val="24"/>
                            </w:rPr>
                            <w:fldChar w:fldCharType="separate"/>
                          </w:r>
                          <w:r w:rsidR="00ED5ABD">
                            <w:rPr>
                              <w:rFonts w:ascii="Arial" w:hAnsi="Arial" w:cs="Arial"/>
                              <w:b/>
                              <w:color w:val="FF0000"/>
                              <w:sz w:val="24"/>
                            </w:rPr>
                            <w:t>OFFICIAL</w:t>
                          </w:r>
                          <w:r w:rsidRPr="001C0D9A">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5E256D06" id="Text Box 275" o:spid="_x0000_s1047"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3Q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kui2ygPuB+Do7Ue8uXLQ6xYj68&#10;MIdc40qo3/CMh1SAzeBkUdKA+/3R/xiPFKCXkg61U1GD4qZE/TRIzbQYjaLU0mU0/jbEi7v1bG49&#10;ZqcfAMVZ4DuxPJkxPqizKR3oNxT5IvZEFzMcO1c0nM2HcNQzPhIuFosUhOKyLKzM2vJYOoIaAX7t&#10;35izJxYC8vcEZ42x8h0Zx9iY6e1iF5CSxFSE+YjpCX0UZiLw9Iii8m/vKer61Od/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ne83QGAIAADIEAAAOAAAAAAAAAAAAAAAAAC4CAABkcnMvZTJvRG9jLnhtbFBLAQItABQABgAI&#10;AAAAIQA+BAuX3AAAAAQBAAAPAAAAAAAAAAAAAAAAAHIEAABkcnMvZG93bnJldi54bWxQSwUGAAAA&#10;AAQABADzAAAAewUAAAAA&#10;" filled="f" stroked="f" strokeweight=".5pt">
              <v:textbox style="mso-fit-shape-to-text:t">
                <w:txbxContent>
                  <w:p w14:paraId="2F81BBE4" w14:textId="207E0F12" w:rsidR="009D70F5" w:rsidRPr="001C0D9A" w:rsidRDefault="009D70F5" w:rsidP="00042053">
                    <w:pPr>
                      <w:spacing w:before="0" w:after="0"/>
                      <w:jc w:val="center"/>
                      <w:rPr>
                        <w:rFonts w:ascii="Arial" w:hAnsi="Arial" w:cs="Arial"/>
                        <w:b/>
                        <w:color w:val="FF0000"/>
                        <w:sz w:val="24"/>
                      </w:rPr>
                    </w:pPr>
                    <w:r w:rsidRPr="001C0D9A">
                      <w:rPr>
                        <w:rFonts w:ascii="Arial" w:hAnsi="Arial" w:cs="Arial"/>
                        <w:b/>
                        <w:color w:val="FF0000"/>
                        <w:sz w:val="24"/>
                      </w:rPr>
                      <w:fldChar w:fldCharType="begin"/>
                    </w:r>
                    <w:r w:rsidRPr="001C0D9A">
                      <w:rPr>
                        <w:rFonts w:ascii="Arial" w:hAnsi="Arial" w:cs="Arial"/>
                        <w:b/>
                        <w:color w:val="FF0000"/>
                        <w:sz w:val="24"/>
                      </w:rPr>
                      <w:instrText xml:space="preserve"> DOCPROPERTY PM_ProtectiveMarkingValue_Header \* MERGEFORMAT </w:instrText>
                    </w:r>
                    <w:r w:rsidRPr="001C0D9A">
                      <w:rPr>
                        <w:rFonts w:ascii="Arial" w:hAnsi="Arial" w:cs="Arial"/>
                        <w:b/>
                        <w:color w:val="FF0000"/>
                        <w:sz w:val="24"/>
                      </w:rPr>
                      <w:fldChar w:fldCharType="separate"/>
                    </w:r>
                    <w:r w:rsidR="00ED5ABD">
                      <w:rPr>
                        <w:rFonts w:ascii="Arial" w:hAnsi="Arial" w:cs="Arial"/>
                        <w:b/>
                        <w:color w:val="FF0000"/>
                        <w:sz w:val="24"/>
                      </w:rPr>
                      <w:t>OFFICIAL</w:t>
                    </w:r>
                    <w:r w:rsidRPr="001C0D9A">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5C6A43D4" wp14:editId="73B8FD7F">
              <wp:extent cx="1891665" cy="250190"/>
              <wp:effectExtent l="0" t="0" r="0" b="0"/>
              <wp:docPr id="198" name="Text Box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E08E44" w14:textId="1F14F903" w:rsidR="009D70F5" w:rsidRPr="000F2A8A" w:rsidRDefault="009D70F5" w:rsidP="00042053">
                          <w:pPr>
                            <w:spacing w:before="0" w:after="0"/>
                            <w:jc w:val="center"/>
                            <w:rPr>
                              <w:rFonts w:ascii="Arial" w:hAnsi="Arial" w:cs="Arial"/>
                              <w:b/>
                              <w:color w:val="FF0000"/>
                              <w:sz w:val="24"/>
                            </w:rPr>
                          </w:pPr>
                          <w:r w:rsidRPr="000F2A8A">
                            <w:rPr>
                              <w:rFonts w:ascii="Arial" w:hAnsi="Arial" w:cs="Arial"/>
                              <w:b/>
                              <w:color w:val="FF0000"/>
                              <w:sz w:val="24"/>
                            </w:rPr>
                            <w:fldChar w:fldCharType="begin"/>
                          </w:r>
                          <w:r w:rsidRPr="000F2A8A">
                            <w:rPr>
                              <w:rFonts w:ascii="Arial" w:hAnsi="Arial" w:cs="Arial"/>
                              <w:b/>
                              <w:color w:val="FF0000"/>
                              <w:sz w:val="24"/>
                            </w:rPr>
                            <w:instrText xml:space="preserve"> DOCPROPERTY PM_ProtectiveMarkingValue_Header \* MERGEFORMAT </w:instrText>
                          </w:r>
                          <w:r w:rsidRPr="000F2A8A">
                            <w:rPr>
                              <w:rFonts w:ascii="Arial" w:hAnsi="Arial" w:cs="Arial"/>
                              <w:b/>
                              <w:color w:val="FF0000"/>
                              <w:sz w:val="24"/>
                            </w:rPr>
                            <w:fldChar w:fldCharType="separate"/>
                          </w:r>
                          <w:r w:rsidR="00ED5ABD">
                            <w:rPr>
                              <w:rFonts w:ascii="Arial" w:hAnsi="Arial" w:cs="Arial"/>
                              <w:b/>
                              <w:color w:val="FF0000"/>
                              <w:sz w:val="24"/>
                            </w:rPr>
                            <w:t>OFFICIAL</w:t>
                          </w:r>
                          <w:r w:rsidRPr="000F2A8A">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5C6A43D4" id="Text Box 198" o:spid="_x0000_s1048"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SuGQ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mG50U2UB9wPwdH6r3lyxaHWDEf&#10;XphDrnEl1G94xkMqwGZwsihpwP3+6H+MRwrQS0mH2qmoQXFTon4apGZajEZRaukyGn8b4sXdeja3&#10;HrPTD4DiLPCdWJ7MGB/U2ZQO9BuKfBF7oosZjp0rGs7mQzjqGR8JF4tFCkJxWRZWZm15LB1BjQC/&#10;9m/M2RMLAfl7grPGWPmOjGNszPR2sQtISWIqwnzE9IQ+CjMReHpEUfm39xR1ferzP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YpKUrhkCAAAyBAAADgAAAAAAAAAAAAAAAAAuAgAAZHJzL2Uyb0RvYy54bWxQSwECLQAUAAYA&#10;CAAAACEAPgQLl9wAAAAEAQAADwAAAAAAAAAAAAAAAABzBAAAZHJzL2Rvd25yZXYueG1sUEsFBgAA&#10;AAAEAAQA8wAAAHwFAAAAAA==&#10;" filled="f" stroked="f" strokeweight=".5pt">
              <v:textbox style="mso-fit-shape-to-text:t">
                <w:txbxContent>
                  <w:p w14:paraId="0CE08E44" w14:textId="1F14F903" w:rsidR="009D70F5" w:rsidRPr="000F2A8A" w:rsidRDefault="009D70F5" w:rsidP="00042053">
                    <w:pPr>
                      <w:spacing w:before="0" w:after="0"/>
                      <w:jc w:val="center"/>
                      <w:rPr>
                        <w:rFonts w:ascii="Arial" w:hAnsi="Arial" w:cs="Arial"/>
                        <w:b/>
                        <w:color w:val="FF0000"/>
                        <w:sz w:val="24"/>
                      </w:rPr>
                    </w:pPr>
                    <w:r w:rsidRPr="000F2A8A">
                      <w:rPr>
                        <w:rFonts w:ascii="Arial" w:hAnsi="Arial" w:cs="Arial"/>
                        <w:b/>
                        <w:color w:val="FF0000"/>
                        <w:sz w:val="24"/>
                      </w:rPr>
                      <w:fldChar w:fldCharType="begin"/>
                    </w:r>
                    <w:r w:rsidRPr="000F2A8A">
                      <w:rPr>
                        <w:rFonts w:ascii="Arial" w:hAnsi="Arial" w:cs="Arial"/>
                        <w:b/>
                        <w:color w:val="FF0000"/>
                        <w:sz w:val="24"/>
                      </w:rPr>
                      <w:instrText xml:space="preserve"> DOCPROPERTY PM_ProtectiveMarkingValue_Header \* MERGEFORMAT </w:instrText>
                    </w:r>
                    <w:r w:rsidRPr="000F2A8A">
                      <w:rPr>
                        <w:rFonts w:ascii="Arial" w:hAnsi="Arial" w:cs="Arial"/>
                        <w:b/>
                        <w:color w:val="FF0000"/>
                        <w:sz w:val="24"/>
                      </w:rPr>
                      <w:fldChar w:fldCharType="separate"/>
                    </w:r>
                    <w:r w:rsidR="00ED5ABD">
                      <w:rPr>
                        <w:rFonts w:ascii="Arial" w:hAnsi="Arial" w:cs="Arial"/>
                        <w:b/>
                        <w:color w:val="FF0000"/>
                        <w:sz w:val="24"/>
                      </w:rPr>
                      <w:t>OFFICIAL</w:t>
                    </w:r>
                    <w:r w:rsidRPr="000F2A8A">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1AE1D70B" wp14:editId="650375AB">
              <wp:extent cx="1891665" cy="250190"/>
              <wp:effectExtent l="0" t="0" r="0" b="0"/>
              <wp:docPr id="172" name="Text Box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599448" w14:textId="02A1A8E8" w:rsidR="009D70F5" w:rsidRPr="00AC15FB" w:rsidRDefault="009D70F5" w:rsidP="00042053">
                          <w:pPr>
                            <w:spacing w:before="0" w:after="0"/>
                            <w:jc w:val="center"/>
                            <w:rPr>
                              <w:rFonts w:ascii="Arial" w:hAnsi="Arial" w:cs="Arial"/>
                              <w:b/>
                              <w:color w:val="FF0000"/>
                              <w:sz w:val="24"/>
                            </w:rPr>
                          </w:pPr>
                          <w:r w:rsidRPr="00AC15FB">
                            <w:rPr>
                              <w:rFonts w:ascii="Arial" w:hAnsi="Arial" w:cs="Arial"/>
                              <w:b/>
                              <w:color w:val="FF0000"/>
                              <w:sz w:val="24"/>
                            </w:rPr>
                            <w:fldChar w:fldCharType="begin"/>
                          </w:r>
                          <w:r w:rsidRPr="00AC15FB">
                            <w:rPr>
                              <w:rFonts w:ascii="Arial" w:hAnsi="Arial" w:cs="Arial"/>
                              <w:b/>
                              <w:color w:val="FF0000"/>
                              <w:sz w:val="24"/>
                            </w:rPr>
                            <w:instrText xml:space="preserve"> DOCPROPERTY PM_ProtectiveMarkingValue_Header \* MERGEFORMAT </w:instrText>
                          </w:r>
                          <w:r w:rsidRPr="00AC15FB">
                            <w:rPr>
                              <w:rFonts w:ascii="Arial" w:hAnsi="Arial" w:cs="Arial"/>
                              <w:b/>
                              <w:color w:val="FF0000"/>
                              <w:sz w:val="24"/>
                            </w:rPr>
                            <w:fldChar w:fldCharType="separate"/>
                          </w:r>
                          <w:r w:rsidR="00ED5ABD">
                            <w:rPr>
                              <w:rFonts w:ascii="Arial" w:hAnsi="Arial" w:cs="Arial"/>
                              <w:b/>
                              <w:color w:val="FF0000"/>
                              <w:sz w:val="24"/>
                            </w:rPr>
                            <w:t>OFFICIAL</w:t>
                          </w:r>
                          <w:r w:rsidRPr="00AC15FB">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1AE1D70B" id="Text Box 172" o:spid="_x0000_s1049"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My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4xR350U2UB9wPwdH6r3lyxaHWDEf&#10;XplDrnEl1G94wUMqwGZwsihpwP362/8YjxSgl5IOtVNRg+KmRP0wSM20GI2i1NJlNP46xIu79Wxu&#10;PWanHwHFWeA7sTyZMT6osykd6HcU+SL2RBczHDtXNJzNx3DUMz4SLhaLFITisiyszNryWDqCGgF+&#10;69+ZsycWAvL3DGeNsfIDGcfYmOntYheQksRUhPmI6Ql9FGYi8PSIovJv7ynq+tTnvwE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XjdzMhkCAAAyBAAADgAAAAAAAAAAAAAAAAAuAgAAZHJzL2Uyb0RvYy54bWxQSwECLQAUAAYA&#10;CAAAACEAPgQLl9wAAAAEAQAADwAAAAAAAAAAAAAAAABzBAAAZHJzL2Rvd25yZXYueG1sUEsFBgAA&#10;AAAEAAQA8wAAAHwFAAAAAA==&#10;" filled="f" stroked="f" strokeweight=".5pt">
              <v:textbox style="mso-fit-shape-to-text:t">
                <w:txbxContent>
                  <w:p w14:paraId="2E599448" w14:textId="02A1A8E8" w:rsidR="009D70F5" w:rsidRPr="00AC15FB" w:rsidRDefault="009D70F5" w:rsidP="00042053">
                    <w:pPr>
                      <w:spacing w:before="0" w:after="0"/>
                      <w:jc w:val="center"/>
                      <w:rPr>
                        <w:rFonts w:ascii="Arial" w:hAnsi="Arial" w:cs="Arial"/>
                        <w:b/>
                        <w:color w:val="FF0000"/>
                        <w:sz w:val="24"/>
                      </w:rPr>
                    </w:pPr>
                    <w:r w:rsidRPr="00AC15FB">
                      <w:rPr>
                        <w:rFonts w:ascii="Arial" w:hAnsi="Arial" w:cs="Arial"/>
                        <w:b/>
                        <w:color w:val="FF0000"/>
                        <w:sz w:val="24"/>
                      </w:rPr>
                      <w:fldChar w:fldCharType="begin"/>
                    </w:r>
                    <w:r w:rsidRPr="00AC15FB">
                      <w:rPr>
                        <w:rFonts w:ascii="Arial" w:hAnsi="Arial" w:cs="Arial"/>
                        <w:b/>
                        <w:color w:val="FF0000"/>
                        <w:sz w:val="24"/>
                      </w:rPr>
                      <w:instrText xml:space="preserve"> DOCPROPERTY PM_ProtectiveMarkingValue_Header \* MERGEFORMAT </w:instrText>
                    </w:r>
                    <w:r w:rsidRPr="00AC15FB">
                      <w:rPr>
                        <w:rFonts w:ascii="Arial" w:hAnsi="Arial" w:cs="Arial"/>
                        <w:b/>
                        <w:color w:val="FF0000"/>
                        <w:sz w:val="24"/>
                      </w:rPr>
                      <w:fldChar w:fldCharType="separate"/>
                    </w:r>
                    <w:r w:rsidR="00ED5ABD">
                      <w:rPr>
                        <w:rFonts w:ascii="Arial" w:hAnsi="Arial" w:cs="Arial"/>
                        <w:b/>
                        <w:color w:val="FF0000"/>
                        <w:sz w:val="24"/>
                      </w:rPr>
                      <w:t>OFFICIAL</w:t>
                    </w:r>
                    <w:r w:rsidRPr="00AC15FB">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50C6158F" wp14:editId="5A35F321">
              <wp:extent cx="1397000" cy="457200"/>
              <wp:effectExtent l="0" t="0" r="12700" b="19050"/>
              <wp:docPr id="93" name="Text Box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6D6BBD8" w14:textId="0ED98455" w:rsidR="009D70F5" w:rsidRPr="00B67F71" w:rsidRDefault="009D70F5" w:rsidP="00042053">
                          <w:pPr>
                            <w:spacing w:before="0" w:after="0"/>
                            <w:jc w:val="center"/>
                            <w:rPr>
                              <w:rFonts w:ascii="Arial" w:hAnsi="Arial" w:cs="Arial"/>
                              <w:b/>
                              <w:color w:val="FF0000"/>
                              <w:sz w:val="24"/>
                            </w:rPr>
                          </w:pPr>
                          <w:r w:rsidRPr="00B67F71">
                            <w:rPr>
                              <w:rFonts w:ascii="Arial" w:hAnsi="Arial" w:cs="Arial"/>
                              <w:b/>
                              <w:color w:val="FF0000"/>
                              <w:sz w:val="24"/>
                            </w:rPr>
                            <w:fldChar w:fldCharType="begin"/>
                          </w:r>
                          <w:r w:rsidRPr="00B67F71">
                            <w:rPr>
                              <w:rFonts w:ascii="Arial" w:hAnsi="Arial" w:cs="Arial"/>
                              <w:b/>
                              <w:color w:val="FF0000"/>
                              <w:sz w:val="24"/>
                            </w:rPr>
                            <w:instrText xml:space="preserve"> DOCPROPERTY PM_ProtectiveMarkingValue_Header \* MERGEFORMAT </w:instrText>
                          </w:r>
                          <w:r w:rsidRPr="00B67F71">
                            <w:rPr>
                              <w:rFonts w:ascii="Arial" w:hAnsi="Arial" w:cs="Arial"/>
                              <w:b/>
                              <w:color w:val="FF0000"/>
                              <w:sz w:val="24"/>
                            </w:rPr>
                            <w:fldChar w:fldCharType="separate"/>
                          </w:r>
                          <w:r w:rsidR="00ED5ABD">
                            <w:rPr>
                              <w:rFonts w:ascii="Arial" w:hAnsi="Arial" w:cs="Arial"/>
                              <w:b/>
                              <w:color w:val="FF0000"/>
                              <w:sz w:val="24"/>
                            </w:rPr>
                            <w:t>OFFICIAL</w:t>
                          </w:r>
                          <w:r w:rsidRPr="00B67F71">
                            <w:rPr>
                              <w:rFonts w:ascii="Arial" w:hAnsi="Arial" w:cs="Arial"/>
                              <w:b/>
                              <w:color w:val="FF0000"/>
                              <w:sz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50C6158F" id="Text Box 93" o:spid="_x0000_s1050"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VQ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WJlVUC0CAABcBAAADgAAAAAAAAAAAAAAAAAuAgAAZHJzL2Uy&#10;b0RvYy54bWxQSwECLQAUAAYACAAAACEAkBD5ZNoAAAAEAQAADwAAAAAAAAAAAAAAAACHBAAAZHJz&#10;L2Rvd25yZXYueG1sUEsFBgAAAAAEAAQA8wAAAI4FAAAAAA==&#10;" filled="f" strokeweight=".5pt">
              <v:textbox>
                <w:txbxContent>
                  <w:p w14:paraId="66D6BBD8" w14:textId="0ED98455" w:rsidR="009D70F5" w:rsidRPr="00B67F71" w:rsidRDefault="009D70F5" w:rsidP="00042053">
                    <w:pPr>
                      <w:spacing w:before="0" w:after="0"/>
                      <w:jc w:val="center"/>
                      <w:rPr>
                        <w:rFonts w:ascii="Arial" w:hAnsi="Arial" w:cs="Arial"/>
                        <w:b/>
                        <w:color w:val="FF0000"/>
                        <w:sz w:val="24"/>
                      </w:rPr>
                    </w:pPr>
                    <w:r w:rsidRPr="00B67F71">
                      <w:rPr>
                        <w:rFonts w:ascii="Arial" w:hAnsi="Arial" w:cs="Arial"/>
                        <w:b/>
                        <w:color w:val="FF0000"/>
                        <w:sz w:val="24"/>
                      </w:rPr>
                      <w:fldChar w:fldCharType="begin"/>
                    </w:r>
                    <w:r w:rsidRPr="00B67F71">
                      <w:rPr>
                        <w:rFonts w:ascii="Arial" w:hAnsi="Arial" w:cs="Arial"/>
                        <w:b/>
                        <w:color w:val="FF0000"/>
                        <w:sz w:val="24"/>
                      </w:rPr>
                      <w:instrText xml:space="preserve"> DOCPROPERTY PM_ProtectiveMarkingValue_Header \* MERGEFORMAT </w:instrText>
                    </w:r>
                    <w:r w:rsidRPr="00B67F71">
                      <w:rPr>
                        <w:rFonts w:ascii="Arial" w:hAnsi="Arial" w:cs="Arial"/>
                        <w:b/>
                        <w:color w:val="FF0000"/>
                        <w:sz w:val="24"/>
                      </w:rPr>
                      <w:fldChar w:fldCharType="separate"/>
                    </w:r>
                    <w:r w:rsidR="00ED5ABD">
                      <w:rPr>
                        <w:rFonts w:ascii="Arial" w:hAnsi="Arial" w:cs="Arial"/>
                        <w:b/>
                        <w:color w:val="FF0000"/>
                        <w:sz w:val="24"/>
                      </w:rPr>
                      <w:t>OFFICIAL</w:t>
                    </w:r>
                    <w:r w:rsidRPr="00B67F71">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62BD0D35" wp14:editId="09B08A64">
              <wp:extent cx="1891665" cy="250190"/>
              <wp:effectExtent l="0" t="0" r="0" b="0"/>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F0CE32" w14:textId="49B65F43" w:rsidR="009D70F5" w:rsidRPr="00E37D2B" w:rsidRDefault="009D70F5" w:rsidP="00042053">
                          <w:pPr>
                            <w:spacing w:before="0" w:after="0"/>
                            <w:jc w:val="center"/>
                            <w:rPr>
                              <w:rFonts w:ascii="Arial" w:hAnsi="Arial" w:cs="Arial"/>
                              <w:b/>
                              <w:color w:val="FF0000"/>
                              <w:sz w:val="24"/>
                            </w:rPr>
                          </w:pPr>
                          <w:r w:rsidRPr="00E37D2B">
                            <w:rPr>
                              <w:rFonts w:ascii="Arial" w:hAnsi="Arial" w:cs="Arial"/>
                              <w:b/>
                              <w:color w:val="FF0000"/>
                              <w:sz w:val="24"/>
                            </w:rPr>
                            <w:fldChar w:fldCharType="begin"/>
                          </w:r>
                          <w:r w:rsidRPr="00E37D2B">
                            <w:rPr>
                              <w:rFonts w:ascii="Arial" w:hAnsi="Arial" w:cs="Arial"/>
                              <w:b/>
                              <w:color w:val="FF0000"/>
                              <w:sz w:val="24"/>
                            </w:rPr>
                            <w:instrText xml:space="preserve"> DOCPROPERTY PM_ProtectiveMarkingValue_Header \* MERGEFORMAT </w:instrText>
                          </w:r>
                          <w:r w:rsidRPr="00E37D2B">
                            <w:rPr>
                              <w:rFonts w:ascii="Arial" w:hAnsi="Arial" w:cs="Arial"/>
                              <w:b/>
                              <w:color w:val="FF0000"/>
                              <w:sz w:val="24"/>
                            </w:rPr>
                            <w:fldChar w:fldCharType="separate"/>
                          </w:r>
                          <w:r w:rsidR="00ED5ABD">
                            <w:rPr>
                              <w:rFonts w:ascii="Arial" w:hAnsi="Arial" w:cs="Arial"/>
                              <w:b/>
                              <w:color w:val="FF0000"/>
                              <w:sz w:val="24"/>
                            </w:rPr>
                            <w:t>OFFICIAL</w:t>
                          </w:r>
                          <w:r w:rsidRPr="00E37D2B">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xmlns:oel="http://schemas.microsoft.com/office/2019/extlst">
          <w:pict>
            <v:shape w14:anchorId="62BD0D35" id="Text Box 8" o:spid="_x0000_s1051" type="#_x0000_t202" alt="&quot;&quot;" style="width:148.95pt;height:19.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cDOGAIAADI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jlOcF9lAfcD9HByp95YvWxxixXx4&#10;YQ65xpVQv+EZD6kAm8HJoqQB9/uj/zEeKUAvJR1qp6IGxU2J+mmQmmkxGkWppcto/G2IF3fr2dx6&#10;zE4/AIqzwHdieTJjfFBnUzrQbyjyReyJLmY4dq5oOJsP4ahnfCRcLBYpCMVlWViZteWxdAQ1Avza&#10;vzFnTywE5O8Jzhpj5TsyjrEx09vFLiAliakI8xHTE/oozETg6RFF5d/eU9T1qc//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BU5cDOGAIAADIEAAAOAAAAAAAAAAAAAAAAAC4CAABkcnMvZTJvRG9jLnhtbFBLAQItABQABgAI&#10;AAAAIQA+BAuX3AAAAAQBAAAPAAAAAAAAAAAAAAAAAHIEAABkcnMvZG93bnJldi54bWxQSwUGAAAA&#10;AAQABADzAAAAewUAAAAA&#10;" filled="f" stroked="f" strokeweight=".5pt">
              <v:textbox style="mso-fit-shape-to-text:t">
                <w:txbxContent>
                  <w:p w14:paraId="7CF0CE32" w14:textId="49B65F43" w:rsidR="009D70F5" w:rsidRPr="00E37D2B" w:rsidRDefault="009D70F5" w:rsidP="00042053">
                    <w:pPr>
                      <w:spacing w:before="0" w:after="0"/>
                      <w:jc w:val="center"/>
                      <w:rPr>
                        <w:rFonts w:ascii="Arial" w:hAnsi="Arial" w:cs="Arial"/>
                        <w:b/>
                        <w:color w:val="FF0000"/>
                        <w:sz w:val="24"/>
                      </w:rPr>
                    </w:pPr>
                    <w:r w:rsidRPr="00E37D2B">
                      <w:rPr>
                        <w:rFonts w:ascii="Arial" w:hAnsi="Arial" w:cs="Arial"/>
                        <w:b/>
                        <w:color w:val="FF0000"/>
                        <w:sz w:val="24"/>
                      </w:rPr>
                      <w:fldChar w:fldCharType="begin"/>
                    </w:r>
                    <w:r w:rsidRPr="00E37D2B">
                      <w:rPr>
                        <w:rFonts w:ascii="Arial" w:hAnsi="Arial" w:cs="Arial"/>
                        <w:b/>
                        <w:color w:val="FF0000"/>
                        <w:sz w:val="24"/>
                      </w:rPr>
                      <w:instrText xml:space="preserve"> DOCPROPERTY PM_ProtectiveMarkingValue_Header \* MERGEFORMAT </w:instrText>
                    </w:r>
                    <w:r w:rsidRPr="00E37D2B">
                      <w:rPr>
                        <w:rFonts w:ascii="Arial" w:hAnsi="Arial" w:cs="Arial"/>
                        <w:b/>
                        <w:color w:val="FF0000"/>
                        <w:sz w:val="24"/>
                      </w:rPr>
                      <w:fldChar w:fldCharType="separate"/>
                    </w:r>
                    <w:r w:rsidR="00ED5ABD">
                      <w:rPr>
                        <w:rFonts w:ascii="Arial" w:hAnsi="Arial" w:cs="Arial"/>
                        <w:b/>
                        <w:color w:val="FF0000"/>
                        <w:sz w:val="24"/>
                      </w:rPr>
                      <w:t>OFFICIAL</w:t>
                    </w:r>
                    <w:r w:rsidRPr="00E37D2B">
                      <w:rPr>
                        <w:rFonts w:ascii="Arial" w:hAnsi="Arial" w:cs="Arial"/>
                        <w:b/>
                        <w:color w:val="FF0000"/>
                        <w:sz w:val="24"/>
                      </w:rPr>
                      <w:fldChar w:fldCharType="end"/>
                    </w:r>
                  </w:p>
                </w:txbxContent>
              </v:textbox>
              <w10:anchorlock/>
            </v:shape>
          </w:pict>
        </mc:Fallback>
      </mc:AlternateContent>
    </w:r>
    <w:r>
      <w:rPr>
        <w:noProof/>
      </w:rPr>
      <mc:AlternateContent>
        <mc:Choice Requires="wps">
          <w:drawing>
            <wp:inline distT="0" distB="0" distL="0" distR="0" wp14:anchorId="54B9D387" wp14:editId="77F4BA88">
              <wp:extent cx="1397000" cy="457200"/>
              <wp:effectExtent l="0" t="0" r="12700" b="19050"/>
              <wp:docPr id="274" name="Text Box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DA24055"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w:pict>
            <v:shape w14:anchorId="54B9D387" id="Text Box 274" o:spid="_x0000_s1052" type="#_x0000_t202" alt="&quot;&quot;" style="width:11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5/u7IS0CAABcBAAADgAAAAAAAAAAAAAAAAAuAgAAZHJzL2Uy&#10;b0RvYy54bWxQSwECLQAUAAYACAAAACEAkBD5ZNoAAAAEAQAADwAAAAAAAAAAAAAAAACHBAAAZHJz&#10;L2Rvd25yZXYueG1sUEsFBgAAAAAEAAQA8wAAAI4FAAAAAA==&#10;" filled="f" strokeweight=".5pt">
              <v:textbox>
                <w:txbxContent>
                  <w:p w14:paraId="0DA24055" w14:textId="77777777" w:rsidR="009D70F5" w:rsidRDefault="009D70F5"/>
                </w:txbxContent>
              </v:textbox>
              <w10:anchorlock/>
            </v:shape>
          </w:pict>
        </mc:Fallback>
      </mc:AlternateContent>
    </w:r>
    <w:r>
      <w:rPr>
        <w:noProof/>
      </w:rPr>
      <mc:AlternateContent>
        <mc:Choice Requires="wps">
          <w:drawing>
            <wp:anchor distT="0" distB="0" distL="114300" distR="114300" simplePos="0" relativeHeight="251658252" behindDoc="0" locked="0" layoutInCell="1" allowOverlap="1" wp14:anchorId="02A4E11B" wp14:editId="0A5C794A">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248" name="Text Box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86E3B49"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02A4E11B" id="Text Box 248" o:spid="_x0000_s1053" type="#_x0000_t202" alt="&quot;&quot;" style="position:absolute;margin-left:-104.9pt;margin-top:-90.7pt;width:110pt;height:36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mEn09C0CAABcBAAADgAAAAAAAAAAAAAAAAAu&#10;AgAAZHJzL2Uyb0RvYy54bWxQSwECLQAUAAYACAAAACEAB6fylOMAAAANAQAADwAAAAAAAAAAAAAA&#10;AACHBAAAZHJzL2Rvd25yZXYueG1sUEsFBgAAAAAEAAQA8wAAAJcFAAAAAA==&#10;" filled="f" strokeweight=".5pt">
              <v:textbox>
                <w:txbxContent>
                  <w:p w14:paraId="786E3B49"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51" behindDoc="0" locked="0" layoutInCell="1" allowOverlap="1" wp14:anchorId="18A5D35F" wp14:editId="2CAA928F">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222" name="Text Box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66DA454"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18A5D35F" id="Text Box 222" o:spid="_x0000_s1054" type="#_x0000_t202" alt="&quot;&quot;" style="position:absolute;margin-left:-104.9pt;margin-top:-90.7pt;width:110pt;height:36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m9BBry0CAABcBAAADgAAAAAAAAAAAAAAAAAu&#10;AgAAZHJzL2Uyb0RvYy54bWxQSwECLQAUAAYACAAAACEAB6fylOMAAAANAQAADwAAAAAAAAAAAAAA&#10;AACHBAAAZHJzL2Rvd25yZXYueG1sUEsFBgAAAAAEAAQA8wAAAJcFAAAAAA==&#10;" filled="f" strokeweight=".5pt">
              <v:textbox>
                <w:txbxContent>
                  <w:p w14:paraId="766DA454"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50" behindDoc="0" locked="0" layoutInCell="1" allowOverlap="1" wp14:anchorId="26C5453D" wp14:editId="78FE09B7">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96" name="Text Box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5D3F55B"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26C5453D" id="Text Box 196" o:spid="_x0000_s1055" type="#_x0000_t202" alt="&quot;&quot;" style="position:absolute;margin-left:-104.9pt;margin-top:-90.7pt;width:110pt;height:36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5GIOei0CAABcBAAADgAAAAAAAAAAAAAAAAAu&#10;AgAAZHJzL2Uyb0RvYy54bWxQSwECLQAUAAYACAAAACEAB6fylOMAAAANAQAADwAAAAAAAAAAAAAA&#10;AACHBAAAZHJzL2Rvd25yZXYueG1sUEsFBgAAAAAEAAQA8wAAAJcFAAAAAA==&#10;" filled="f" strokeweight=".5pt">
              <v:textbox>
                <w:txbxContent>
                  <w:p w14:paraId="05D3F55B"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49" behindDoc="0" locked="0" layoutInCell="1" allowOverlap="1" wp14:anchorId="44C79DCA" wp14:editId="38FD2A9F">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44" name="Text Box 1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7838BC7"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44C79DCA" id="Text Box 144" o:spid="_x0000_s1056" type="#_x0000_t202" alt="&quot;&quot;" style="position:absolute;margin-left:-104.9pt;margin-top:-90.7pt;width:110pt;height:36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z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" filled="f" strokeweight=".5pt">
              <v:textbox>
                <w:txbxContent>
                  <w:p w14:paraId="37838BC7"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48" behindDoc="0" locked="0" layoutInCell="1" allowOverlap="1" wp14:anchorId="6358E03D" wp14:editId="639F7321">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118" name="Text Box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6CDF6DD"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6358E03D" id="Text Box 118" o:spid="_x0000_s1057" type="#_x0000_t202" alt="&quot;&quot;" style="position:absolute;margin-left:-104.9pt;margin-top:-90.7pt;width:110pt;height:36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mm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" filled="f" strokeweight=".5pt">
              <v:textbox>
                <w:txbxContent>
                  <w:p w14:paraId="36CDF6DD"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47" behindDoc="0" locked="1" layoutInCell="0" allowOverlap="1" wp14:anchorId="77109333" wp14:editId="51EC000A">
              <wp:simplePos x="0" y="0"/>
              <wp:positionH relativeFrom="margin">
                <wp:align>center</wp:align>
              </wp:positionH>
              <wp:positionV relativeFrom="topMargin">
                <wp:align>center</wp:align>
              </wp:positionV>
              <wp:extent cx="1891665" cy="250190"/>
              <wp:effectExtent l="0" t="0" r="0" b="0"/>
              <wp:wrapNone/>
              <wp:docPr id="91" name="Text Box 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EF1D91" w14:textId="74716886" w:rsidR="009D70F5" w:rsidRPr="000F14F5" w:rsidRDefault="009D70F5" w:rsidP="00042053">
                          <w:pPr>
                            <w:spacing w:before="0" w:after="0"/>
                            <w:jc w:val="center"/>
                            <w:rPr>
                              <w:rFonts w:ascii="Arial" w:hAnsi="Arial" w:cs="Arial"/>
                              <w:b/>
                              <w:color w:val="FF0000"/>
                              <w:sz w:val="24"/>
                            </w:rPr>
                          </w:pPr>
                          <w:r w:rsidRPr="000F14F5">
                            <w:rPr>
                              <w:rFonts w:ascii="Arial" w:hAnsi="Arial" w:cs="Arial"/>
                              <w:b/>
                              <w:color w:val="FF0000"/>
                              <w:sz w:val="24"/>
                            </w:rPr>
                            <w:fldChar w:fldCharType="begin"/>
                          </w:r>
                          <w:r w:rsidRPr="000F14F5">
                            <w:rPr>
                              <w:rFonts w:ascii="Arial" w:hAnsi="Arial" w:cs="Arial"/>
                              <w:b/>
                              <w:color w:val="FF0000"/>
                              <w:sz w:val="24"/>
                            </w:rPr>
                            <w:instrText xml:space="preserve"> DOCPROPERTY PM_ProtectiveMarkingValue_Header \* MERGEFORMAT </w:instrText>
                          </w:r>
                          <w:r w:rsidRPr="000F14F5">
                            <w:rPr>
                              <w:rFonts w:ascii="Arial" w:hAnsi="Arial" w:cs="Arial"/>
                              <w:b/>
                              <w:color w:val="FF0000"/>
                              <w:sz w:val="24"/>
                            </w:rPr>
                            <w:fldChar w:fldCharType="separate"/>
                          </w:r>
                          <w:r w:rsidR="00ED5ABD">
                            <w:rPr>
                              <w:rFonts w:ascii="Arial" w:hAnsi="Arial" w:cs="Arial"/>
                              <w:b/>
                              <w:color w:val="FF0000"/>
                              <w:sz w:val="24"/>
                            </w:rPr>
                            <w:t>OFFICIAL</w:t>
                          </w:r>
                          <w:r w:rsidRPr="000F14F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7109333" id="Text Box 91" o:spid="_x0000_s1058" type="#_x0000_t202" alt="&quot;&quot;" style="position:absolute;margin-left:0;margin-top:0;width:148.95pt;height:19.7pt;z-index:251658247;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eB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eF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QAlngRkCAAAyBAAADgAAAAAAAAAAAAAAAAAuAgAAZHJzL2Uyb0RvYy54bWxQSwECLQAUAAYA&#10;CAAAACEAPgQLl9wAAAAEAQAADwAAAAAAAAAAAAAAAABzBAAAZHJzL2Rvd25yZXYueG1sUEsFBgAA&#10;AAAEAAQA8wAAAHwFAAAAAA==&#10;" o:allowincell="f" filled="f" stroked="f" strokeweight=".5pt">
              <v:textbox style="mso-fit-shape-to-text:t">
                <w:txbxContent>
                  <w:p w14:paraId="6AEF1D91" w14:textId="74716886" w:rsidR="009D70F5" w:rsidRPr="000F14F5" w:rsidRDefault="009D70F5" w:rsidP="00042053">
                    <w:pPr>
                      <w:spacing w:before="0" w:after="0"/>
                      <w:jc w:val="center"/>
                      <w:rPr>
                        <w:rFonts w:ascii="Arial" w:hAnsi="Arial" w:cs="Arial"/>
                        <w:b/>
                        <w:color w:val="FF0000"/>
                        <w:sz w:val="24"/>
                      </w:rPr>
                    </w:pPr>
                    <w:r w:rsidRPr="000F14F5">
                      <w:rPr>
                        <w:rFonts w:ascii="Arial" w:hAnsi="Arial" w:cs="Arial"/>
                        <w:b/>
                        <w:color w:val="FF0000"/>
                        <w:sz w:val="24"/>
                      </w:rPr>
                      <w:fldChar w:fldCharType="begin"/>
                    </w:r>
                    <w:r w:rsidRPr="000F14F5">
                      <w:rPr>
                        <w:rFonts w:ascii="Arial" w:hAnsi="Arial" w:cs="Arial"/>
                        <w:b/>
                        <w:color w:val="FF0000"/>
                        <w:sz w:val="24"/>
                      </w:rPr>
                      <w:instrText xml:space="preserve"> DOCPROPERTY PM_ProtectiveMarkingValue_Header \* MERGEFORMAT </w:instrText>
                    </w:r>
                    <w:r w:rsidRPr="000F14F5">
                      <w:rPr>
                        <w:rFonts w:ascii="Arial" w:hAnsi="Arial" w:cs="Arial"/>
                        <w:b/>
                        <w:color w:val="FF0000"/>
                        <w:sz w:val="24"/>
                      </w:rPr>
                      <w:fldChar w:fldCharType="separate"/>
                    </w:r>
                    <w:r w:rsidR="00ED5ABD">
                      <w:rPr>
                        <w:rFonts w:ascii="Arial" w:hAnsi="Arial" w:cs="Arial"/>
                        <w:b/>
                        <w:color w:val="FF0000"/>
                        <w:sz w:val="24"/>
                      </w:rPr>
                      <w:t>OFFICIAL</w:t>
                    </w:r>
                    <w:r w:rsidRPr="000F14F5">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46" behindDoc="0" locked="0" layoutInCell="1" allowOverlap="1" wp14:anchorId="65CA6ADA" wp14:editId="21722AA1">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65" name="Text Box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C6CE47E"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65CA6ADA" id="Text Box 65" o:spid="_x0000_s1059" type="#_x0000_t202" alt="&quot;&quot;" style="position:absolute;margin-left:-104.9pt;margin-top:-90.7pt;width:110pt;height:3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fXLQIAAFw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eToeENVAfEwUE/It7ylcL4j8yHF+ZwJrA/nPPwjIfUgEXBUaKkBvfrb+/RHqlCLSUtzlhJ/c8d&#10;c4IS/c0giXfj6TQOZbok4Chxl5rNpcbsmiVgp2PcKMuTiM4u6EGUDpo3XIdFzIoqZjjmLmkYxGXo&#10;Jx/XiYvFIhnhGFoWHs3a8hh6wPW1e2POHvkKyPQTDNPIine09bY9cYtdAKkSpxHoHtUj/jjCaSqO&#10;6xZ35PKerM4/hfl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a9H1y0CAABcBAAADgAAAAAAAAAAAAAAAAAu&#10;AgAAZHJzL2Uyb0RvYy54bWxQSwECLQAUAAYACAAAACEAB6fylOMAAAANAQAADwAAAAAAAAAAAAAA&#10;AACHBAAAZHJzL2Rvd25yZXYueG1sUEsFBgAAAAAEAAQA8wAAAJcFAAAAAA==&#10;" filled="f" strokeweight=".5pt">
              <v:textbox>
                <w:txbxContent>
                  <w:p w14:paraId="3C6CE47E"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45" behindDoc="0" locked="0" layoutInCell="1" allowOverlap="1" wp14:anchorId="33DA1883" wp14:editId="50EB3201">
              <wp:simplePos x="0" y="0"/>
              <wp:positionH relativeFrom="column">
                <wp:posOffset>-1332230</wp:posOffset>
              </wp:positionH>
              <wp:positionV relativeFrom="paragraph">
                <wp:posOffset>-1151890</wp:posOffset>
              </wp:positionV>
              <wp:extent cx="1397000" cy="457200"/>
              <wp:effectExtent l="0" t="0" r="12700" b="19050"/>
              <wp:wrapThrough wrapText="bothSides">
                <wp:wrapPolygon edited="0">
                  <wp:start x="0" y="0"/>
                  <wp:lineTo x="0" y="21600"/>
                  <wp:lineTo x="21502" y="21600"/>
                  <wp:lineTo x="21502" y="0"/>
                  <wp:lineTo x="0" y="0"/>
                </wp:wrapPolygon>
              </wp:wrapThrough>
              <wp:docPr id="39" name="Text Box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D06CE4C" w14:textId="77777777" w:rsidR="009D70F5" w:rsidRDefault="009D7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w:pict>
            <v:shape w14:anchorId="33DA1883" id="Text Box 39" o:spid="_x0000_s1060" type="#_x0000_t202" alt="&quot;&quot;" style="position:absolute;margin-left:-104.9pt;margin-top:-90.7pt;width:110pt;height:36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qQLQIAAFw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" filled="f" strokeweight=".5pt">
              <v:textbox>
                <w:txbxContent>
                  <w:p w14:paraId="1D06CE4C" w14:textId="77777777" w:rsidR="009D70F5" w:rsidRDefault="009D70F5"/>
                </w:txbxContent>
              </v:textbox>
              <w10:wrap type="through"/>
            </v:shape>
          </w:pict>
        </mc:Fallback>
      </mc:AlternateContent>
    </w:r>
    <w:r>
      <w:rPr>
        <w:noProof/>
      </w:rPr>
      <mc:AlternateContent>
        <mc:Choice Requires="wps">
          <w:drawing>
            <wp:anchor distT="0" distB="0" distL="114300" distR="114300" simplePos="0" relativeHeight="251658244" behindDoc="0" locked="1" layoutInCell="0" allowOverlap="1" wp14:anchorId="69EA3716" wp14:editId="59504851">
              <wp:simplePos x="0" y="0"/>
              <wp:positionH relativeFrom="margin">
                <wp:align>center</wp:align>
              </wp:positionH>
              <wp:positionV relativeFrom="topMargin">
                <wp:align>center</wp:align>
              </wp:positionV>
              <wp:extent cx="1891665" cy="250190"/>
              <wp:effectExtent l="0" t="0" r="0" b="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716D9D" w14:textId="3DC3DF0E" w:rsidR="009D70F5" w:rsidRDefault="009D70F5" w:rsidP="00042053">
                          <w:pPr>
                            <w:spacing w:before="0" w:after="0"/>
                            <w:jc w:val="center"/>
                            <w:rPr>
                              <w:rFonts w:ascii="Arial" w:hAnsi="Arial" w:cs="Arial"/>
                              <w:b/>
                              <w:color w:val="FF0000"/>
                              <w:sz w:val="24"/>
                            </w:rPr>
                          </w:pPr>
                          <w:r w:rsidRPr="00517745">
                            <w:rPr>
                              <w:rFonts w:ascii="Arial" w:hAnsi="Arial" w:cs="Arial"/>
                              <w:b/>
                              <w:color w:val="FF0000"/>
                              <w:sz w:val="24"/>
                            </w:rPr>
                            <w:fldChar w:fldCharType="begin"/>
                          </w:r>
                          <w:r w:rsidRPr="00517745">
                            <w:rPr>
                              <w:rFonts w:ascii="Arial" w:hAnsi="Arial" w:cs="Arial"/>
                              <w:b/>
                              <w:color w:val="FF0000"/>
                              <w:sz w:val="24"/>
                            </w:rPr>
                            <w:instrText xml:space="preserve"> DOCPROPERTY PM_ProtectiveMarkingValue_Header \* MERGEFORMAT </w:instrText>
                          </w:r>
                          <w:r w:rsidRPr="00517745">
                            <w:rPr>
                              <w:rFonts w:ascii="Arial" w:hAnsi="Arial" w:cs="Arial"/>
                              <w:b/>
                              <w:color w:val="FF0000"/>
                              <w:sz w:val="24"/>
                            </w:rPr>
                            <w:fldChar w:fldCharType="separate"/>
                          </w:r>
                          <w:r w:rsidR="00ED5ABD">
                            <w:rPr>
                              <w:rFonts w:ascii="Arial" w:hAnsi="Arial" w:cs="Arial"/>
                              <w:b/>
                              <w:color w:val="FF0000"/>
                              <w:sz w:val="24"/>
                            </w:rPr>
                            <w:t>OFFICIAL</w:t>
                          </w:r>
                          <w:r w:rsidRPr="00517745">
                            <w:rPr>
                              <w:rFonts w:ascii="Arial" w:hAnsi="Arial" w:cs="Arial"/>
                              <w:b/>
                              <w:color w:val="FF0000"/>
                              <w:sz w:val="24"/>
                            </w:rPr>
                            <w:fldChar w:fldCharType="end"/>
                          </w:r>
                        </w:p>
                        <w:p w14:paraId="5F86E57E" w14:textId="77777777" w:rsidR="009D70F5" w:rsidRPr="00517745" w:rsidRDefault="009D70F5" w:rsidP="00042053">
                          <w:pPr>
                            <w:spacing w:before="0" w:after="0"/>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69EA3716" id="Text Box 7" o:spid="_x0000_s1061" type="#_x0000_t202" alt="&quot;&quot;" style="position:absolute;margin-left:0;margin-top:0;width:148.95pt;height:19.7pt;z-index:25165824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jPh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fF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n4z4RkCAAAyBAAADgAAAAAAAAAAAAAAAAAuAgAAZHJzL2Uyb0RvYy54bWxQSwECLQAUAAYA&#10;CAAAACEAPgQLl9wAAAAEAQAADwAAAAAAAAAAAAAAAABzBAAAZHJzL2Rvd25yZXYueG1sUEsFBgAA&#10;AAAEAAQA8wAAAHwFAAAAAA==&#10;" o:allowincell="f" filled="f" stroked="f" strokeweight=".5pt">
              <v:textbox style="mso-fit-shape-to-text:t">
                <w:txbxContent>
                  <w:p w14:paraId="09716D9D" w14:textId="3DC3DF0E" w:rsidR="009D70F5" w:rsidRDefault="009D70F5" w:rsidP="00042053">
                    <w:pPr>
                      <w:spacing w:before="0" w:after="0"/>
                      <w:jc w:val="center"/>
                      <w:rPr>
                        <w:rFonts w:ascii="Arial" w:hAnsi="Arial" w:cs="Arial"/>
                        <w:b/>
                        <w:color w:val="FF0000"/>
                        <w:sz w:val="24"/>
                      </w:rPr>
                    </w:pPr>
                    <w:r w:rsidRPr="00517745">
                      <w:rPr>
                        <w:rFonts w:ascii="Arial" w:hAnsi="Arial" w:cs="Arial"/>
                        <w:b/>
                        <w:color w:val="FF0000"/>
                        <w:sz w:val="24"/>
                      </w:rPr>
                      <w:fldChar w:fldCharType="begin"/>
                    </w:r>
                    <w:r w:rsidRPr="00517745">
                      <w:rPr>
                        <w:rFonts w:ascii="Arial" w:hAnsi="Arial" w:cs="Arial"/>
                        <w:b/>
                        <w:color w:val="FF0000"/>
                        <w:sz w:val="24"/>
                      </w:rPr>
                      <w:instrText xml:space="preserve"> DOCPROPERTY PM_ProtectiveMarkingValue_Header \* MERGEFORMAT </w:instrText>
                    </w:r>
                    <w:r w:rsidRPr="00517745">
                      <w:rPr>
                        <w:rFonts w:ascii="Arial" w:hAnsi="Arial" w:cs="Arial"/>
                        <w:b/>
                        <w:color w:val="FF0000"/>
                        <w:sz w:val="24"/>
                      </w:rPr>
                      <w:fldChar w:fldCharType="separate"/>
                    </w:r>
                    <w:r w:rsidR="00ED5ABD">
                      <w:rPr>
                        <w:rFonts w:ascii="Arial" w:hAnsi="Arial" w:cs="Arial"/>
                        <w:b/>
                        <w:color w:val="FF0000"/>
                        <w:sz w:val="24"/>
                      </w:rPr>
                      <w:t>OFFICIAL</w:t>
                    </w:r>
                    <w:r w:rsidRPr="00517745">
                      <w:rPr>
                        <w:rFonts w:ascii="Arial" w:hAnsi="Arial" w:cs="Arial"/>
                        <w:b/>
                        <w:color w:val="FF0000"/>
                        <w:sz w:val="24"/>
                      </w:rPr>
                      <w:fldChar w:fldCharType="end"/>
                    </w:r>
                  </w:p>
                  <w:p w14:paraId="5F86E57E" w14:textId="77777777" w:rsidR="009D70F5" w:rsidRPr="00517745" w:rsidRDefault="009D70F5" w:rsidP="00042053">
                    <w:pPr>
                      <w:spacing w:before="0" w:after="0"/>
                      <w:jc w:val="center"/>
                      <w:rPr>
                        <w:rFonts w:ascii="Arial" w:hAnsi="Arial" w:cs="Arial"/>
                        <w:b/>
                        <w:color w:val="FF0000"/>
                        <w:sz w:val="24"/>
                      </w:rPr>
                    </w:pP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B100" w14:textId="4751EF87" w:rsidR="00402365" w:rsidRDefault="009D70F5">
    <w:pPr>
      <w:pStyle w:val="Header"/>
    </w:pPr>
    <w:r>
      <w:rPr>
        <w:noProof/>
      </w:rPr>
      <w:drawing>
        <wp:anchor distT="0" distB="0" distL="114300" distR="114300" simplePos="0" relativeHeight="251658258" behindDoc="1" locked="0" layoutInCell="1" allowOverlap="1" wp14:anchorId="77F338E5" wp14:editId="1184FDBA">
          <wp:simplePos x="0" y="0"/>
          <wp:positionH relativeFrom="page">
            <wp:align>left</wp:align>
          </wp:positionH>
          <wp:positionV relativeFrom="page">
            <wp:align>top</wp:align>
          </wp:positionV>
          <wp:extent cx="7560000" cy="10691902"/>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1DEF6" w14:textId="0D3E84B7" w:rsidR="009D70F5" w:rsidRDefault="00123EE5">
    <w:pPr>
      <w:pStyle w:val="Header"/>
    </w:pPr>
    <w:r>
      <w:rPr>
        <w:noProof/>
      </w:rPr>
      <w:drawing>
        <wp:anchor distT="0" distB="0" distL="114300" distR="114300" simplePos="0" relativeHeight="251658240" behindDoc="1" locked="0" layoutInCell="1" allowOverlap="1" wp14:anchorId="32676BA0" wp14:editId="6E3449B5">
          <wp:simplePos x="0" y="0"/>
          <wp:positionH relativeFrom="page">
            <wp:align>center</wp:align>
          </wp:positionH>
          <wp:positionV relativeFrom="page">
            <wp:align>center</wp:align>
          </wp:positionV>
          <wp:extent cx="7560000" cy="10692000"/>
          <wp:effectExtent l="0" t="0" r="317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7E6A" w14:textId="77777777" w:rsidR="009D70F5" w:rsidRPr="00A240DA" w:rsidRDefault="009D70F5" w:rsidP="00042053">
    <w:pPr>
      <w:pStyle w:val="Header"/>
    </w:pPr>
    <w:r>
      <w:rPr>
        <w:noProof/>
      </w:rPr>
      <mc:AlternateContent>
        <mc:Choice Requires="wps">
          <w:drawing>
            <wp:anchor distT="0" distB="0" distL="114300" distR="114300" simplePos="0" relativeHeight="251658280" behindDoc="0" locked="1" layoutInCell="0" allowOverlap="1" wp14:anchorId="7469945A" wp14:editId="116D31D7">
              <wp:simplePos x="0" y="0"/>
              <wp:positionH relativeFrom="margin">
                <wp:align>center</wp:align>
              </wp:positionH>
              <wp:positionV relativeFrom="topMargin">
                <wp:align>center</wp:align>
              </wp:positionV>
              <wp:extent cx="1891665" cy="250190"/>
              <wp:effectExtent l="0" t="0" r="0" b="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989B7E" w14:textId="1E50F806" w:rsidR="009D70F5" w:rsidRPr="00BC29FE" w:rsidRDefault="009D70F5" w:rsidP="00042053">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D5ABD">
                            <w:rPr>
                              <w:rFonts w:ascii="Arial" w:hAnsi="Arial" w:cs="Arial"/>
                              <w:b/>
                              <w:color w:val="FF0000"/>
                              <w:sz w:val="24"/>
                            </w:rPr>
                            <w:t>OFFICIAL</w:t>
                          </w:r>
                          <w:r w:rsidRPr="00BC29FE">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7469945A" id="_x0000_t202" coordsize="21600,21600" o:spt="202" path="m,l,21600r21600,l21600,xe">
              <v:stroke joinstyle="miter"/>
              <v:path gradientshapeok="t" o:connecttype="rect"/>
            </v:shapetype>
            <v:shape id="Text Box 5" o:spid="_x0000_s1062" type="#_x0000_t202" alt="&quot;&quot;" style="position:absolute;margin-left:0;margin-top:0;width:148.95pt;height:19.7pt;z-index:25165828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qf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cl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c5dqnxkCAAAyBAAADgAAAAAAAAAAAAAAAAAuAgAAZHJzL2Uyb0RvYy54bWxQSwECLQAUAAYA&#10;CAAAACEAPgQLl9wAAAAEAQAADwAAAAAAAAAAAAAAAABzBAAAZHJzL2Rvd25yZXYueG1sUEsFBgAA&#10;AAAEAAQA8wAAAHwFAAAAAA==&#10;" o:allowincell="f" filled="f" stroked="f" strokeweight=".5pt">
              <v:textbox style="mso-fit-shape-to-text:t">
                <w:txbxContent>
                  <w:p w14:paraId="20989B7E" w14:textId="1E50F806" w:rsidR="009D70F5" w:rsidRPr="00BC29FE" w:rsidRDefault="009D70F5" w:rsidP="00042053">
                    <w:pPr>
                      <w:spacing w:before="0" w:after="0"/>
                      <w:jc w:val="center"/>
                      <w:rPr>
                        <w:rFonts w:ascii="Arial" w:hAnsi="Arial" w:cs="Arial"/>
                        <w:b/>
                        <w:color w:val="FF0000"/>
                        <w:sz w:val="24"/>
                      </w:rPr>
                    </w:pPr>
                    <w:r w:rsidRPr="00BC29FE">
                      <w:rPr>
                        <w:rFonts w:ascii="Arial" w:hAnsi="Arial" w:cs="Arial"/>
                        <w:b/>
                        <w:color w:val="FF0000"/>
                        <w:sz w:val="24"/>
                      </w:rPr>
                      <w:fldChar w:fldCharType="begin"/>
                    </w:r>
                    <w:r w:rsidRPr="00BC29FE">
                      <w:rPr>
                        <w:rFonts w:ascii="Arial" w:hAnsi="Arial" w:cs="Arial"/>
                        <w:b/>
                        <w:color w:val="FF0000"/>
                        <w:sz w:val="24"/>
                      </w:rPr>
                      <w:instrText xml:space="preserve"> DOCPROPERTY PM_ProtectiveMarkingValue_Header \* MERGEFORMAT </w:instrText>
                    </w:r>
                    <w:r w:rsidRPr="00BC29FE">
                      <w:rPr>
                        <w:rFonts w:ascii="Arial" w:hAnsi="Arial" w:cs="Arial"/>
                        <w:b/>
                        <w:color w:val="FF0000"/>
                        <w:sz w:val="24"/>
                      </w:rPr>
                      <w:fldChar w:fldCharType="separate"/>
                    </w:r>
                    <w:r w:rsidR="00ED5ABD">
                      <w:rPr>
                        <w:rFonts w:ascii="Arial" w:hAnsi="Arial" w:cs="Arial"/>
                        <w:b/>
                        <w:color w:val="FF0000"/>
                        <w:sz w:val="24"/>
                      </w:rPr>
                      <w:t>OFFICIAL</w:t>
                    </w:r>
                    <w:r w:rsidRPr="00BC29FE">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7" behindDoc="0" locked="1" layoutInCell="0" allowOverlap="1" wp14:anchorId="251DC35F" wp14:editId="01DCEB2F">
              <wp:simplePos x="0" y="0"/>
              <wp:positionH relativeFrom="margin">
                <wp:align>center</wp:align>
              </wp:positionH>
              <wp:positionV relativeFrom="topMargin">
                <wp:align>center</wp:align>
              </wp:positionV>
              <wp:extent cx="1891665" cy="250190"/>
              <wp:effectExtent l="0" t="0" r="0" b="0"/>
              <wp:wrapNone/>
              <wp:docPr id="495" name="Text Box 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2A9A36" w14:textId="2347D327"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251DC35F" id="Text Box 495" o:spid="_x0000_s1063" type="#_x0000_t202" alt="&quot;&quot;" style="position:absolute;margin-left:0;margin-top:0;width:148.95pt;height:19.7pt;z-index:251658277;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E8yjQMaAgAAMgQAAA4AAAAAAAAAAAAAAAAALgIAAGRycy9lMm9Eb2MueG1sUEsBAi0AFAAG&#10;AAgAAAAhAD4EC5fcAAAABAEAAA8AAAAAAAAAAAAAAAAAdAQAAGRycy9kb3ducmV2LnhtbFBLBQYA&#10;AAAABAAEAPMAAAB9BQAAAAA=&#10;" o:allowincell="f" filled="f" stroked="f" strokeweight=".5pt">
              <v:textbox style="mso-fit-shape-to-text:t">
                <w:txbxContent>
                  <w:p w14:paraId="0D2A9A36" w14:textId="2347D327" w:rsidR="009D70F5" w:rsidRPr="00E22CA0" w:rsidRDefault="009D70F5" w:rsidP="00042053">
                    <w:pPr>
                      <w:spacing w:before="0" w:after="0"/>
                      <w:jc w:val="center"/>
                      <w:rPr>
                        <w:rFonts w:ascii="Arial" w:hAnsi="Arial" w:cs="Arial"/>
                        <w:b/>
                        <w:color w:val="FF0000"/>
                        <w:sz w:val="24"/>
                      </w:rPr>
                    </w:pPr>
                    <w:r w:rsidRPr="00E22CA0">
                      <w:rPr>
                        <w:rFonts w:ascii="Arial" w:hAnsi="Arial" w:cs="Arial"/>
                        <w:b/>
                        <w:color w:val="FF0000"/>
                        <w:sz w:val="24"/>
                      </w:rPr>
                      <w:fldChar w:fldCharType="begin"/>
                    </w:r>
                    <w:r w:rsidRPr="00E22CA0">
                      <w:rPr>
                        <w:rFonts w:ascii="Arial" w:hAnsi="Arial" w:cs="Arial"/>
                        <w:b/>
                        <w:color w:val="FF0000"/>
                        <w:sz w:val="24"/>
                      </w:rPr>
                      <w:instrText xml:space="preserve"> DOCPROPERTY PM_ProtectiveMarkingValue_Header \* MERGEFORMAT </w:instrText>
                    </w:r>
                    <w:r w:rsidRPr="00E22CA0">
                      <w:rPr>
                        <w:rFonts w:ascii="Arial" w:hAnsi="Arial" w:cs="Arial"/>
                        <w:b/>
                        <w:color w:val="FF0000"/>
                        <w:sz w:val="24"/>
                      </w:rPr>
                      <w:fldChar w:fldCharType="separate"/>
                    </w:r>
                    <w:r w:rsidR="00ED5ABD">
                      <w:rPr>
                        <w:rFonts w:ascii="Arial" w:hAnsi="Arial" w:cs="Arial"/>
                        <w:b/>
                        <w:color w:val="FF0000"/>
                        <w:sz w:val="24"/>
                      </w:rPr>
                      <w:t>OFFICIAL</w:t>
                    </w:r>
                    <w:r w:rsidRPr="00E22CA0">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73" behindDoc="0" locked="1" layoutInCell="0" allowOverlap="1" wp14:anchorId="13370B1F" wp14:editId="41B25BB6">
              <wp:simplePos x="0" y="0"/>
              <wp:positionH relativeFrom="margin">
                <wp:align>center</wp:align>
              </wp:positionH>
              <wp:positionV relativeFrom="topMargin">
                <wp:align>center</wp:align>
              </wp:positionV>
              <wp:extent cx="1891665" cy="250190"/>
              <wp:effectExtent l="0" t="0" r="0" b="0"/>
              <wp:wrapNone/>
              <wp:docPr id="465" name="Text Box 4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5B451C" w14:textId="157C31E6"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3370B1F" id="Text Box 465" o:spid="_x0000_s1064" type="#_x0000_t202" alt="&quot;&quot;" style="position:absolute;margin-left:0;margin-top:0;width:148.95pt;height:19.7pt;z-index:25165827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" o:allowincell="f" filled="f" stroked="f" strokeweight=".5pt">
              <v:textbox style="mso-fit-shape-to-text:t">
                <w:txbxContent>
                  <w:p w14:paraId="365B451C" w14:textId="157C31E6" w:rsidR="009D70F5" w:rsidRPr="00FF0E48" w:rsidRDefault="009D70F5" w:rsidP="00042053">
                    <w:pPr>
                      <w:spacing w:before="0" w:after="0"/>
                      <w:jc w:val="center"/>
                      <w:rPr>
                        <w:rFonts w:ascii="Arial" w:hAnsi="Arial" w:cs="Arial"/>
                        <w:b/>
                        <w:color w:val="FF0000"/>
                        <w:sz w:val="24"/>
                      </w:rPr>
                    </w:pPr>
                    <w:r w:rsidRPr="00FF0E48">
                      <w:rPr>
                        <w:rFonts w:ascii="Arial" w:hAnsi="Arial" w:cs="Arial"/>
                        <w:b/>
                        <w:color w:val="FF0000"/>
                        <w:sz w:val="24"/>
                      </w:rPr>
                      <w:fldChar w:fldCharType="begin"/>
                    </w:r>
                    <w:r w:rsidRPr="00FF0E48">
                      <w:rPr>
                        <w:rFonts w:ascii="Arial" w:hAnsi="Arial" w:cs="Arial"/>
                        <w:b/>
                        <w:color w:val="FF0000"/>
                        <w:sz w:val="24"/>
                      </w:rPr>
                      <w:instrText xml:space="preserve"> DOCPROPERTY PM_ProtectiveMarkingValue_Header \* MERGEFORMAT </w:instrText>
                    </w:r>
                    <w:r w:rsidRPr="00FF0E48">
                      <w:rPr>
                        <w:rFonts w:ascii="Arial" w:hAnsi="Arial" w:cs="Arial"/>
                        <w:b/>
                        <w:color w:val="FF0000"/>
                        <w:sz w:val="24"/>
                      </w:rPr>
                      <w:fldChar w:fldCharType="separate"/>
                    </w:r>
                    <w:r w:rsidR="00ED5ABD">
                      <w:rPr>
                        <w:rFonts w:ascii="Arial" w:hAnsi="Arial" w:cs="Arial"/>
                        <w:b/>
                        <w:color w:val="FF0000"/>
                        <w:sz w:val="24"/>
                      </w:rPr>
                      <w:t>OFFICIAL</w:t>
                    </w:r>
                    <w:r w:rsidRPr="00FF0E48">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69" behindDoc="0" locked="1" layoutInCell="0" allowOverlap="1" wp14:anchorId="72752F7A" wp14:editId="14AB5DC6">
              <wp:simplePos x="0" y="0"/>
              <wp:positionH relativeFrom="margin">
                <wp:align>center</wp:align>
              </wp:positionH>
              <wp:positionV relativeFrom="topMargin">
                <wp:align>center</wp:align>
              </wp:positionV>
              <wp:extent cx="1891665" cy="250190"/>
              <wp:effectExtent l="0" t="0" r="0" b="0"/>
              <wp:wrapNone/>
              <wp:docPr id="54" name="Text Box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EEC14B" w14:textId="5892F6E8"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2752F7A" id="Text Box 54" o:spid="_x0000_s1065" type="#_x0000_t202" alt="&quot;&quot;" style="position:absolute;margin-left:0;margin-top:0;width:148.95pt;height:19.7pt;z-index:251658269;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CXDGQIAADI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Ruel5kA/UB93NwpN5bvmxxiBXz&#10;4ZU55BpXQv2GFzykAmwGJ4uSBtyvv/2P8UgBeinpUDsVNShuStQPg9RMi9EoSi1dRuOvQ7y4W8/m&#10;1mN2+hFQnAW+E8uTGeODOpvSgX5HkS9iT3Qxw7FzRcPZfAxHPeMj4WKxSEEoLsvCyqwtj6UjqBHg&#10;t/6dOXtiISB/z3DWGCs/kHGMjZneLnYBKUlMRZiPmJ7QR2EmAk+PKCr/9p6irk99/hs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I9wlwxkCAAAyBAAADgAAAAAAAAAAAAAAAAAuAgAAZHJzL2Uyb0RvYy54bWxQSwECLQAUAAYA&#10;CAAAACEAPgQLl9wAAAAEAQAADwAAAAAAAAAAAAAAAABzBAAAZHJzL2Rvd25yZXYueG1sUEsFBgAA&#10;AAAEAAQA8wAAAHwFAAAAAA==&#10;" o:allowincell="f" filled="f" stroked="f" strokeweight=".5pt">
              <v:textbox style="mso-fit-shape-to-text:t">
                <w:txbxContent>
                  <w:p w14:paraId="00EEC14B" w14:textId="5892F6E8" w:rsidR="009D70F5" w:rsidRPr="00B770B1" w:rsidRDefault="009D70F5" w:rsidP="00042053">
                    <w:pPr>
                      <w:spacing w:before="0" w:after="0"/>
                      <w:jc w:val="center"/>
                      <w:rPr>
                        <w:rFonts w:ascii="Arial" w:hAnsi="Arial" w:cs="Arial"/>
                        <w:b/>
                        <w:color w:val="FF0000"/>
                        <w:sz w:val="24"/>
                      </w:rPr>
                    </w:pPr>
                    <w:r w:rsidRPr="00B770B1">
                      <w:rPr>
                        <w:rFonts w:ascii="Arial" w:hAnsi="Arial" w:cs="Arial"/>
                        <w:b/>
                        <w:color w:val="FF0000"/>
                        <w:sz w:val="24"/>
                      </w:rPr>
                      <w:fldChar w:fldCharType="begin"/>
                    </w:r>
                    <w:r w:rsidRPr="00B770B1">
                      <w:rPr>
                        <w:rFonts w:ascii="Arial" w:hAnsi="Arial" w:cs="Arial"/>
                        <w:b/>
                        <w:color w:val="FF0000"/>
                        <w:sz w:val="24"/>
                      </w:rPr>
                      <w:instrText xml:space="preserve"> DOCPROPERTY PM_ProtectiveMarkingValue_Header \* MERGEFORMAT </w:instrText>
                    </w:r>
                    <w:r w:rsidRPr="00B770B1">
                      <w:rPr>
                        <w:rFonts w:ascii="Arial" w:hAnsi="Arial" w:cs="Arial"/>
                        <w:b/>
                        <w:color w:val="FF0000"/>
                        <w:sz w:val="24"/>
                      </w:rPr>
                      <w:fldChar w:fldCharType="separate"/>
                    </w:r>
                    <w:r w:rsidR="00ED5ABD">
                      <w:rPr>
                        <w:rFonts w:ascii="Arial" w:hAnsi="Arial" w:cs="Arial"/>
                        <w:b/>
                        <w:color w:val="FF0000"/>
                        <w:sz w:val="24"/>
                      </w:rPr>
                      <w:t>OFFICIAL</w:t>
                    </w:r>
                    <w:r w:rsidRPr="00B770B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114300" distR="114300" simplePos="0" relativeHeight="251658265" behindDoc="0" locked="1" layoutInCell="0" allowOverlap="1" wp14:anchorId="0D39318D" wp14:editId="662E9FAC">
              <wp:simplePos x="0" y="0"/>
              <wp:positionH relativeFrom="margin">
                <wp:align>center</wp:align>
              </wp:positionH>
              <wp:positionV relativeFrom="topMargin">
                <wp:align>center</wp:align>
              </wp:positionV>
              <wp:extent cx="1891665" cy="250190"/>
              <wp:effectExtent l="0" t="0" r="0" b="0"/>
              <wp:wrapNone/>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A0D60C" w14:textId="1916FE85"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D39318D" id="Text Box 21" o:spid="_x0000_s1066" type="#_x0000_t202" alt="&quot;&quot;" style="position:absolute;margin-left:0;margin-top:0;width:148.95pt;height:19.7pt;z-index:25165826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CXhAOsGAIAADIEAAAOAAAAAAAAAAAAAAAAAC4CAABkcnMvZTJvRG9jLnhtbFBLAQItABQABgAI&#10;AAAAIQA+BAuX3AAAAAQBAAAPAAAAAAAAAAAAAAAAAHIEAABkcnMvZG93bnJldi54bWxQSwUGAAAA&#10;AAQABADzAAAAewUAAAAA&#10;" o:allowincell="f" filled="f" stroked="f" strokeweight=".5pt">
              <v:textbox style="mso-fit-shape-to-text:t">
                <w:txbxContent>
                  <w:p w14:paraId="00A0D60C" w14:textId="1916FE85" w:rsidR="009D70F5" w:rsidRPr="00BF7D41" w:rsidRDefault="009D70F5" w:rsidP="00042053">
                    <w:pPr>
                      <w:spacing w:before="0" w:after="0"/>
                      <w:jc w:val="center"/>
                      <w:rPr>
                        <w:rFonts w:ascii="Arial" w:hAnsi="Arial" w:cs="Arial"/>
                        <w:b/>
                        <w:color w:val="FF0000"/>
                        <w:sz w:val="24"/>
                      </w:rPr>
                    </w:pPr>
                    <w:r w:rsidRPr="00BF7D41">
                      <w:rPr>
                        <w:rFonts w:ascii="Arial" w:hAnsi="Arial" w:cs="Arial"/>
                        <w:b/>
                        <w:color w:val="FF0000"/>
                        <w:sz w:val="24"/>
                      </w:rPr>
                      <w:fldChar w:fldCharType="begin"/>
                    </w:r>
                    <w:r w:rsidRPr="00BF7D41">
                      <w:rPr>
                        <w:rFonts w:ascii="Arial" w:hAnsi="Arial" w:cs="Arial"/>
                        <w:b/>
                        <w:color w:val="FF0000"/>
                        <w:sz w:val="24"/>
                      </w:rPr>
                      <w:instrText xml:space="preserve"> DOCPROPERTY PM_ProtectiveMarkingValue_Header \* MERGEFORMAT </w:instrText>
                    </w:r>
                    <w:r w:rsidRPr="00BF7D41">
                      <w:rPr>
                        <w:rFonts w:ascii="Arial" w:hAnsi="Arial" w:cs="Arial"/>
                        <w:b/>
                        <w:color w:val="FF0000"/>
                        <w:sz w:val="24"/>
                      </w:rPr>
                      <w:fldChar w:fldCharType="separate"/>
                    </w:r>
                    <w:r w:rsidR="00ED5ABD">
                      <w:rPr>
                        <w:rFonts w:ascii="Arial" w:hAnsi="Arial" w:cs="Arial"/>
                        <w:b/>
                        <w:color w:val="FF0000"/>
                        <w:sz w:val="24"/>
                      </w:rPr>
                      <w:t>OFFICIAL</w:t>
                    </w:r>
                    <w:r w:rsidRPr="00BF7D41">
                      <w:rPr>
                        <w:rFonts w:ascii="Arial" w:hAnsi="Arial" w:cs="Arial"/>
                        <w:b/>
                        <w:color w:val="FF0000"/>
                        <w:sz w:val="24"/>
                      </w:rPr>
                      <w:fldChar w:fldCharType="end"/>
                    </w:r>
                  </w:p>
                </w:txbxContent>
              </v:textbox>
              <w10:wrap anchorx="margin" anchory="margin"/>
              <w10:anchorlock/>
            </v:shape>
          </w:pict>
        </mc:Fallback>
      </mc:AlternateContent>
    </w:r>
    <w:r>
      <w:rPr>
        <w:noProof/>
      </w:rPr>
      <mc:AlternateContent>
        <mc:Choice Requires="wps">
          <w:drawing>
            <wp:anchor distT="0" distB="0" distL="0" distR="0" simplePos="0" relativeHeight="251658254" behindDoc="0" locked="1" layoutInCell="0" allowOverlap="1" wp14:anchorId="25B08531" wp14:editId="7FF27E5E">
              <wp:simplePos x="0" y="0"/>
              <wp:positionH relativeFrom="page">
                <wp:posOffset>1321435</wp:posOffset>
              </wp:positionH>
              <wp:positionV relativeFrom="page">
                <wp:posOffset>360045</wp:posOffset>
              </wp:positionV>
              <wp:extent cx="4910455" cy="615315"/>
              <wp:effectExtent l="0" t="0" r="0" b="0"/>
              <wp:wrapSquare wrapText="bothSides"/>
              <wp:docPr id="80" name="Text Box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05A1F" w14:textId="77777777" w:rsidR="009D70F5" w:rsidRDefault="009D70F5">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5B08531" id="Text Box 80" o:spid="_x0000_s1067" type="#_x0000_t202" alt="&quot;&quot;" style="position:absolute;margin-left:104.05pt;margin-top:28.35pt;width:386.65pt;height:48.45pt;z-index:2516582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NhE2wEAAJkDAAAOAAAAZHJzL2Uyb0RvYy54bWysU9tu1DAQfUfiHyy/s9mUbgX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b/P15WYjheazq3zzOt+kEqpYXnuk8N7AIGJQSuSmJnR1eKAQ2ahiuRKLObi3fZ8a27vfEnwx&#10;ZhL7SHimHqZqErZmJklbVFNBfWQ9CPO88Hxz0AH+kGLkWSklfd8rNFL0Hxx7EgdrCXAJqiVQTvPT&#10;UgYp5vA2zAO492jbjpFn1x3csG+NTZKeWZz4cv+T0tOsxgH7dZ9uPf+o3U8A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Dw0NhE2wEAAJkDAAAOAAAAAAAAAAAAAAAAAC4CAABkcnMvZTJvRG9jLnhtbFBLAQItABQABgAI&#10;AAAAIQDRbryF4AAAAAoBAAAPAAAAAAAAAAAAAAAAADUEAABkcnMvZG93bnJldi54bWxQSwUGAAAA&#10;AAQABADzAAAAQgUAAAAA&#10;" o:allowincell="f" filled="f" stroked="f">
              <v:textbox inset="0,0,0,0">
                <w:txbxContent>
                  <w:p w14:paraId="7B605A1F" w14:textId="77777777" w:rsidR="009D70F5" w:rsidRDefault="009D70F5">
                    <w:pPr>
                      <w:pStyle w:val="Classification"/>
                    </w:pPr>
                    <w:r>
                      <w:t xml:space="preserve">: </w:t>
                    </w:r>
                    <w:r>
                      <w:br/>
                      <w:t>Sensitive: Cabinet</w:t>
                    </w:r>
                  </w:p>
                </w:txbxContent>
              </v:textbox>
              <w10:wrap type="square"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1667" w14:textId="77777777" w:rsidR="009D70F5" w:rsidRPr="00B963B1" w:rsidRDefault="009D70F5" w:rsidP="00042053">
    <w:pPr>
      <w:pStyle w:val="Header"/>
    </w:pPr>
    <w:r>
      <w:rPr>
        <w:noProof/>
      </w:rPr>
      <w:drawing>
        <wp:anchor distT="0" distB="0" distL="114300" distR="114300" simplePos="0" relativeHeight="251658243" behindDoc="1" locked="0" layoutInCell="1" allowOverlap="1" wp14:anchorId="14E6C6A0" wp14:editId="3C82676E">
          <wp:simplePos x="0" y="0"/>
          <wp:positionH relativeFrom="page">
            <wp:align>left</wp:align>
          </wp:positionH>
          <wp:positionV relativeFrom="page">
            <wp:align>top</wp:align>
          </wp:positionV>
          <wp:extent cx="7560000" cy="10691902"/>
          <wp:effectExtent l="0" t="0" r="317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E1BA9" w14:paraId="73D11DF9" w14:textId="77777777" w:rsidTr="00042053">
      <w:trPr>
        <w:trHeight w:hRule="exact" w:val="340"/>
      </w:trPr>
      <w:tc>
        <w:tcPr>
          <w:tcW w:w="7797" w:type="dxa"/>
        </w:tcPr>
        <w:p w14:paraId="4165A754" w14:textId="0548B37C" w:rsidR="006E1BA9" w:rsidRPr="008C56E1" w:rsidRDefault="006E1BA9" w:rsidP="00F60EA1">
          <w:pPr>
            <w:pStyle w:val="HeaderEven"/>
          </w:pPr>
          <w:r w:rsidRPr="008C56E1">
            <w:rPr>
              <w:noProof/>
              <w:position w:val="-8"/>
            </w:rPr>
            <w:drawing>
              <wp:inline distT="0" distB="0" distL="0" distR="0" wp14:anchorId="3877DF34" wp14:editId="785FCA8E">
                <wp:extent cx="874979" cy="198000"/>
                <wp:effectExtent l="0" t="0" r="1905" b="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7533" name="Picture 765375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E979BB">
            <w:fldChar w:fldCharType="begin"/>
          </w:r>
          <w:r w:rsidR="00E979BB">
            <w:instrText xml:space="preserve"> TITLE   \* MERGEFORMAT </w:instrText>
          </w:r>
          <w:r w:rsidR="00E979BB">
            <w:fldChar w:fldCharType="separate"/>
          </w:r>
          <w:r w:rsidR="00ED5ABD">
            <w:t>Budget Paper No. 1</w:t>
          </w:r>
          <w:r w:rsidR="00E979BB">
            <w:fldChar w:fldCharType="end"/>
          </w:r>
        </w:p>
      </w:tc>
    </w:tr>
  </w:tbl>
  <w:p w14:paraId="1941878D" w14:textId="4656A3FA" w:rsidR="009D70F5" w:rsidRPr="00B60715" w:rsidRDefault="009D70F5" w:rsidP="00042053">
    <w:pPr>
      <w:pStyle w:val="Header"/>
    </w:pPr>
    <w:r>
      <w:rPr>
        <w:noProof/>
      </w:rPr>
      <w:drawing>
        <wp:anchor distT="0" distB="0" distL="114300" distR="114300" simplePos="0" relativeHeight="251658288" behindDoc="1" locked="0" layoutInCell="1" allowOverlap="1" wp14:anchorId="3CCEC172" wp14:editId="5A8D0D89">
          <wp:simplePos x="0" y="0"/>
          <wp:positionH relativeFrom="page">
            <wp:posOffset>0</wp:posOffset>
          </wp:positionH>
          <wp:positionV relativeFrom="page">
            <wp:posOffset>49</wp:posOffset>
          </wp:positionV>
          <wp:extent cx="7560000" cy="10691902"/>
          <wp:effectExtent l="0" t="0" r="3175" b="0"/>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F750E" w14:paraId="5C4D1CC2" w14:textId="77777777" w:rsidTr="00042053">
      <w:trPr>
        <w:trHeight w:hRule="exact" w:val="340"/>
      </w:trPr>
      <w:tc>
        <w:tcPr>
          <w:tcW w:w="7797" w:type="dxa"/>
          <w:tcMar>
            <w:left w:w="108" w:type="dxa"/>
            <w:right w:w="108" w:type="dxa"/>
          </w:tcMar>
        </w:tcPr>
        <w:p w14:paraId="24228B77" w14:textId="79191CF8" w:rsidR="00EF750E" w:rsidRPr="00D13BF9" w:rsidRDefault="00E979BB" w:rsidP="00D13BF9">
          <w:pPr>
            <w:pStyle w:val="HeaderOdd"/>
          </w:pPr>
          <w:r>
            <w:fldChar w:fldCharType="begin"/>
          </w:r>
          <w:r>
            <w:instrText xml:space="preserve"> TITLE   \* MERGEFORMAT </w:instrText>
          </w:r>
          <w:r>
            <w:fldChar w:fldCharType="separate"/>
          </w:r>
          <w:r w:rsidR="00ED5ABD">
            <w:t>Budget Paper No. 1</w:t>
          </w:r>
          <w:r>
            <w:fldChar w:fldCharType="end"/>
          </w:r>
          <w:r w:rsidR="00EF750E" w:rsidRPr="00D13BF9">
            <w:t xml:space="preserve">  |  </w:t>
          </w:r>
          <w:r w:rsidR="00EF750E" w:rsidRPr="00C9389A">
            <w:rPr>
              <w:noProof/>
              <w:position w:val="-8"/>
            </w:rPr>
            <w:drawing>
              <wp:inline distT="0" distB="0" distL="0" distR="0" wp14:anchorId="15553817" wp14:editId="1768E772">
                <wp:extent cx="878400" cy="198000"/>
                <wp:effectExtent l="0" t="0" r="0" b="0"/>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47615" name="Picture 8337476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C0039CC" w14:textId="065F2679" w:rsidR="009D70F5" w:rsidRPr="003F1E2D" w:rsidRDefault="009D70F5" w:rsidP="00042053">
    <w:pPr>
      <w:pStyle w:val="Header"/>
    </w:pPr>
    <w:r>
      <w:rPr>
        <w:noProof/>
      </w:rPr>
      <w:drawing>
        <wp:anchor distT="0" distB="0" distL="114300" distR="114300" simplePos="0" relativeHeight="251658263" behindDoc="1" locked="0" layoutInCell="1" allowOverlap="1" wp14:anchorId="16E57BF3" wp14:editId="052D311D">
          <wp:simplePos x="0" y="0"/>
          <wp:positionH relativeFrom="page">
            <wp:posOffset>0</wp:posOffset>
          </wp:positionH>
          <wp:positionV relativeFrom="page">
            <wp:posOffset>0</wp:posOffset>
          </wp:positionV>
          <wp:extent cx="7560000" cy="10692000"/>
          <wp:effectExtent l="0" t="0" r="3175"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E1EA" w14:textId="3191C600" w:rsidR="009D70F5" w:rsidRPr="00A240DA" w:rsidRDefault="006E1BA9" w:rsidP="00042053">
    <w:pPr>
      <w:pStyle w:val="Header"/>
    </w:pPr>
    <w:r w:rsidRPr="00FB5DDD">
      <w:rPr>
        <w:noProof/>
        <w:sz w:val="32"/>
        <w:szCs w:val="32"/>
      </w:rPr>
      <mc:AlternateContent>
        <mc:Choice Requires="wps">
          <w:drawing>
            <wp:anchor distT="0" distB="0" distL="114300" distR="114300" simplePos="0" relativeHeight="251658286" behindDoc="0" locked="0" layoutInCell="1" allowOverlap="1" wp14:anchorId="4065C418" wp14:editId="1B209B3F">
              <wp:simplePos x="0" y="0"/>
              <wp:positionH relativeFrom="column">
                <wp:posOffset>7560945</wp:posOffset>
              </wp:positionH>
              <wp:positionV relativeFrom="margin">
                <wp:align>top</wp:align>
              </wp:positionV>
              <wp:extent cx="399600" cy="4896000"/>
              <wp:effectExtent l="0" t="0" r="635" b="0"/>
              <wp:wrapNone/>
              <wp:docPr id="16" name="Text Box 1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ADEFF" w14:textId="7FF1A0B6" w:rsidR="006E1BA9" w:rsidRPr="00137C7E" w:rsidRDefault="006E1BA9" w:rsidP="00CC6004">
                          <w:pPr>
                            <w:pStyle w:val="HeaderEven"/>
                          </w:pPr>
                          <w:r w:rsidRPr="005476BD">
                            <w:rPr>
                              <w:noProof/>
                              <w:position w:val="-8"/>
                            </w:rPr>
                            <w:drawing>
                              <wp:inline distT="0" distB="0" distL="0" distR="0" wp14:anchorId="69998D27" wp14:editId="0F85FC78">
                                <wp:extent cx="878400" cy="198000"/>
                                <wp:effectExtent l="0" t="254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E979BB">
                            <w:fldChar w:fldCharType="begin"/>
                          </w:r>
                          <w:r w:rsidR="00E979BB">
                            <w:instrText xml:space="preserve"> TITLE   \* MERGEFORMAT </w:instrText>
                          </w:r>
                          <w:r w:rsidR="00E979BB">
                            <w:fldChar w:fldCharType="separate"/>
                          </w:r>
                          <w:r w:rsidR="00ED5ABD">
                            <w:t>Budget Paper No. 1</w:t>
                          </w:r>
                          <w:r w:rsidR="00E979BB">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065C418" id="_x0000_t202" coordsize="21600,21600" o:spt="202" path="m,l,21600r21600,l21600,xe">
              <v:stroke joinstyle="miter"/>
              <v:path gradientshapeok="t" o:connecttype="rect"/>
            </v:shapetype>
            <v:shape id="Text Box 16" o:spid="_x0000_s1068" type="#_x0000_t202" alt="Landscape Odd Header" style="position:absolute;margin-left:595.35pt;margin-top:0;width:31.45pt;height:385.5pt;z-index:25165828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LTVqoHqAQAAwgMAAA4AAAAAAAAAAAAAAAAALgIAAGRycy9lMm9Eb2Mu&#10;eG1sUEsBAi0AFAAGAAgAAAAhAHQ0ILLfAAAACgEAAA8AAAAAAAAAAAAAAAAARAQAAGRycy9kb3du&#10;cmV2LnhtbFBLBQYAAAAABAAEAPMAAABQBQAAAAA=&#10;" stroked="f">
              <v:textbox style="layout-flow:vertical" inset="0,0,0,0">
                <w:txbxContent>
                  <w:p w14:paraId="0B8ADEFF" w14:textId="7FF1A0B6" w:rsidR="006E1BA9" w:rsidRPr="00137C7E" w:rsidRDefault="006E1BA9" w:rsidP="00CC6004">
                    <w:pPr>
                      <w:pStyle w:val="HeaderEven"/>
                    </w:pPr>
                    <w:r w:rsidRPr="005476BD">
                      <w:rPr>
                        <w:noProof/>
                        <w:position w:val="-8"/>
                      </w:rPr>
                      <w:drawing>
                        <wp:inline distT="0" distB="0" distL="0" distR="0" wp14:anchorId="69998D27" wp14:editId="0F85FC78">
                          <wp:extent cx="878400" cy="198000"/>
                          <wp:effectExtent l="0" t="254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ED5ABD">
                        <w:t>Budget Paper No. 1</w:t>
                      </w:r>
                    </w:fldSimple>
                  </w:p>
                </w:txbxContent>
              </v:textbox>
              <w10:wrap anchory="margin"/>
            </v:shape>
          </w:pict>
        </mc:Fallback>
      </mc:AlternateContent>
    </w:r>
    <w:r w:rsidR="009D70F5">
      <w:rPr>
        <w:noProof/>
      </w:rPr>
      <w:drawing>
        <wp:anchor distT="0" distB="0" distL="114300" distR="114300" simplePos="0" relativeHeight="251658261" behindDoc="1" locked="0" layoutInCell="1" allowOverlap="1" wp14:anchorId="74B2D299" wp14:editId="0B46225C">
          <wp:simplePos x="0" y="0"/>
          <wp:positionH relativeFrom="page">
            <wp:align>left</wp:align>
          </wp:positionH>
          <wp:positionV relativeFrom="page">
            <wp:align>top</wp:align>
          </wp:positionV>
          <wp:extent cx="7560000" cy="10692000"/>
          <wp:effectExtent l="0" t="381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5400000"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F6B80"/>
    <w:multiLevelType w:val="multilevel"/>
    <w:tmpl w:val="DD989BBE"/>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B43306C"/>
    <w:multiLevelType w:val="singleLevel"/>
    <w:tmpl w:val="0C090017"/>
    <w:lvl w:ilvl="0">
      <w:start w:val="1"/>
      <w:numFmt w:val="lowerLetter"/>
      <w:lvlText w:val="%1)"/>
      <w:lvlJc w:val="left"/>
      <w:pPr>
        <w:ind w:left="360" w:hanging="360"/>
      </w:pPr>
      <w:rPr>
        <w:rFonts w:hint="default"/>
        <w:b w:val="0"/>
        <w:i w:val="0"/>
        <w:color w:val="000000"/>
        <w:sz w:val="16"/>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794C3E37"/>
    <w:multiLevelType w:val="multilevel"/>
    <w:tmpl w:val="3EAEE976"/>
    <w:lvl w:ilvl="0">
      <w:start w:val="1"/>
      <w:numFmt w:val="lowerLetter"/>
      <w:lvlText w:val="%1)"/>
      <w:lvlJc w:val="left"/>
      <w:pPr>
        <w:tabs>
          <w:tab w:val="num" w:pos="720"/>
        </w:tabs>
        <w:ind w:left="720" w:hanging="360"/>
      </w:pPr>
      <w:rPr>
        <w:rFonts w:ascii="Arial" w:eastAsia="Times New Roman" w:hAnsi="Arial"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A2E7F6C"/>
    <w:multiLevelType w:val="hybridMultilevel"/>
    <w:tmpl w:val="6A4A3640"/>
    <w:lvl w:ilvl="0" w:tplc="AEE067F0">
      <w:start w:val="1"/>
      <w:numFmt w:val="bullet"/>
      <w:lvlText w:val=""/>
      <w:lvlJc w:val="left"/>
      <w:pPr>
        <w:ind w:left="1000" w:hanging="360"/>
      </w:pPr>
      <w:rPr>
        <w:rFonts w:ascii="Symbol" w:hAnsi="Symbol"/>
      </w:rPr>
    </w:lvl>
    <w:lvl w:ilvl="1" w:tplc="C3A8C04E">
      <w:start w:val="1"/>
      <w:numFmt w:val="bullet"/>
      <w:lvlText w:val=""/>
      <w:lvlJc w:val="left"/>
      <w:pPr>
        <w:ind w:left="1000" w:hanging="360"/>
      </w:pPr>
      <w:rPr>
        <w:rFonts w:ascii="Symbol" w:hAnsi="Symbol"/>
      </w:rPr>
    </w:lvl>
    <w:lvl w:ilvl="2" w:tplc="172C6902">
      <w:start w:val="1"/>
      <w:numFmt w:val="bullet"/>
      <w:lvlText w:val=""/>
      <w:lvlJc w:val="left"/>
      <w:pPr>
        <w:ind w:left="1000" w:hanging="360"/>
      </w:pPr>
      <w:rPr>
        <w:rFonts w:ascii="Symbol" w:hAnsi="Symbol"/>
      </w:rPr>
    </w:lvl>
    <w:lvl w:ilvl="3" w:tplc="DC90097C">
      <w:start w:val="1"/>
      <w:numFmt w:val="bullet"/>
      <w:lvlText w:val=""/>
      <w:lvlJc w:val="left"/>
      <w:pPr>
        <w:ind w:left="1000" w:hanging="360"/>
      </w:pPr>
      <w:rPr>
        <w:rFonts w:ascii="Symbol" w:hAnsi="Symbol"/>
      </w:rPr>
    </w:lvl>
    <w:lvl w:ilvl="4" w:tplc="4212079C">
      <w:start w:val="1"/>
      <w:numFmt w:val="bullet"/>
      <w:lvlText w:val=""/>
      <w:lvlJc w:val="left"/>
      <w:pPr>
        <w:ind w:left="1000" w:hanging="360"/>
      </w:pPr>
      <w:rPr>
        <w:rFonts w:ascii="Symbol" w:hAnsi="Symbol"/>
      </w:rPr>
    </w:lvl>
    <w:lvl w:ilvl="5" w:tplc="55422E76">
      <w:start w:val="1"/>
      <w:numFmt w:val="bullet"/>
      <w:lvlText w:val=""/>
      <w:lvlJc w:val="left"/>
      <w:pPr>
        <w:ind w:left="1000" w:hanging="360"/>
      </w:pPr>
      <w:rPr>
        <w:rFonts w:ascii="Symbol" w:hAnsi="Symbol"/>
      </w:rPr>
    </w:lvl>
    <w:lvl w:ilvl="6" w:tplc="DFD6C314">
      <w:start w:val="1"/>
      <w:numFmt w:val="bullet"/>
      <w:lvlText w:val=""/>
      <w:lvlJc w:val="left"/>
      <w:pPr>
        <w:ind w:left="1000" w:hanging="360"/>
      </w:pPr>
      <w:rPr>
        <w:rFonts w:ascii="Symbol" w:hAnsi="Symbol"/>
      </w:rPr>
    </w:lvl>
    <w:lvl w:ilvl="7" w:tplc="9356B100">
      <w:start w:val="1"/>
      <w:numFmt w:val="bullet"/>
      <w:lvlText w:val=""/>
      <w:lvlJc w:val="left"/>
      <w:pPr>
        <w:ind w:left="1000" w:hanging="360"/>
      </w:pPr>
      <w:rPr>
        <w:rFonts w:ascii="Symbol" w:hAnsi="Symbol"/>
      </w:rPr>
    </w:lvl>
    <w:lvl w:ilvl="8" w:tplc="E0EEBD78">
      <w:start w:val="1"/>
      <w:numFmt w:val="bullet"/>
      <w:lvlText w:val=""/>
      <w:lvlJc w:val="left"/>
      <w:pPr>
        <w:ind w:left="1000" w:hanging="360"/>
      </w:pPr>
      <w:rPr>
        <w:rFonts w:ascii="Symbol" w:hAnsi="Symbol"/>
      </w:rPr>
    </w:lvl>
  </w:abstractNum>
  <w:num w:numId="1">
    <w:abstractNumId w:val="16"/>
  </w:num>
  <w:num w:numId="2">
    <w:abstractNumId w:val="13"/>
  </w:num>
  <w:num w:numId="3">
    <w:abstractNumId w:val="12"/>
  </w:num>
  <w:num w:numId="4">
    <w:abstractNumId w:val="14"/>
  </w:num>
  <w:num w:numId="5">
    <w:abstractNumId w:val="17"/>
  </w:num>
  <w:num w:numId="6">
    <w:abstractNumId w:val="12"/>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num>
  <w:num w:numId="22">
    <w:abstractNumId w:val="15"/>
    <w:lvlOverride w:ilvl="0">
      <w:startOverride w:val="1"/>
    </w:lvlOverride>
  </w:num>
  <w:num w:numId="23">
    <w:abstractNumId w:val="15"/>
  </w:num>
  <w:num w:numId="24">
    <w:abstractNumId w:val="18"/>
  </w:num>
  <w:num w:numId="25">
    <w:abstractNumId w:val="19"/>
  </w:num>
  <w:num w:numId="26">
    <w:abstractNumId w:val="10"/>
  </w:num>
  <w:num w:numId="27">
    <w:abstractNumId w:val="11"/>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87BE6"/>
    <w:rsid w:val="000004EA"/>
    <w:rsid w:val="000034E7"/>
    <w:rsid w:val="00011DBB"/>
    <w:rsid w:val="000127E9"/>
    <w:rsid w:val="000132BF"/>
    <w:rsid w:val="00013EA8"/>
    <w:rsid w:val="000159CE"/>
    <w:rsid w:val="0002003C"/>
    <w:rsid w:val="00024BA4"/>
    <w:rsid w:val="00027A01"/>
    <w:rsid w:val="00030508"/>
    <w:rsid w:val="00032890"/>
    <w:rsid w:val="000332FC"/>
    <w:rsid w:val="0003424F"/>
    <w:rsid w:val="00035D8D"/>
    <w:rsid w:val="00037FA4"/>
    <w:rsid w:val="00042053"/>
    <w:rsid w:val="00043578"/>
    <w:rsid w:val="00043B10"/>
    <w:rsid w:val="0005067C"/>
    <w:rsid w:val="00052925"/>
    <w:rsid w:val="000545AF"/>
    <w:rsid w:val="000546EB"/>
    <w:rsid w:val="00054831"/>
    <w:rsid w:val="000622DA"/>
    <w:rsid w:val="000635BE"/>
    <w:rsid w:val="0007345B"/>
    <w:rsid w:val="0008037F"/>
    <w:rsid w:val="00080C49"/>
    <w:rsid w:val="0008399A"/>
    <w:rsid w:val="00083BD9"/>
    <w:rsid w:val="0008597F"/>
    <w:rsid w:val="00086001"/>
    <w:rsid w:val="00087744"/>
    <w:rsid w:val="00087BE6"/>
    <w:rsid w:val="00087D8D"/>
    <w:rsid w:val="000A2A1E"/>
    <w:rsid w:val="000A3A98"/>
    <w:rsid w:val="000A5862"/>
    <w:rsid w:val="000A6355"/>
    <w:rsid w:val="000A7B35"/>
    <w:rsid w:val="000B183E"/>
    <w:rsid w:val="000B38A8"/>
    <w:rsid w:val="000B49D6"/>
    <w:rsid w:val="000B629C"/>
    <w:rsid w:val="000B770A"/>
    <w:rsid w:val="000C072A"/>
    <w:rsid w:val="000C1A23"/>
    <w:rsid w:val="000C21D6"/>
    <w:rsid w:val="000C2929"/>
    <w:rsid w:val="000C4F3C"/>
    <w:rsid w:val="000D2946"/>
    <w:rsid w:val="000D6894"/>
    <w:rsid w:val="000D6E09"/>
    <w:rsid w:val="000D78F4"/>
    <w:rsid w:val="000D7A75"/>
    <w:rsid w:val="000E105B"/>
    <w:rsid w:val="000E149B"/>
    <w:rsid w:val="000E3BBE"/>
    <w:rsid w:val="000E6672"/>
    <w:rsid w:val="00100D97"/>
    <w:rsid w:val="00102244"/>
    <w:rsid w:val="00103F65"/>
    <w:rsid w:val="001078E4"/>
    <w:rsid w:val="0011175D"/>
    <w:rsid w:val="001126F1"/>
    <w:rsid w:val="00114CF7"/>
    <w:rsid w:val="001174A8"/>
    <w:rsid w:val="00121A6D"/>
    <w:rsid w:val="0012237E"/>
    <w:rsid w:val="00123EE5"/>
    <w:rsid w:val="00126B5F"/>
    <w:rsid w:val="00127A74"/>
    <w:rsid w:val="001302D3"/>
    <w:rsid w:val="00132954"/>
    <w:rsid w:val="00141022"/>
    <w:rsid w:val="00142AE6"/>
    <w:rsid w:val="00144374"/>
    <w:rsid w:val="0014542A"/>
    <w:rsid w:val="001472CA"/>
    <w:rsid w:val="00152F3B"/>
    <w:rsid w:val="00155B51"/>
    <w:rsid w:val="00160928"/>
    <w:rsid w:val="00160A51"/>
    <w:rsid w:val="00164448"/>
    <w:rsid w:val="00165EEB"/>
    <w:rsid w:val="001666E5"/>
    <w:rsid w:val="00172CFE"/>
    <w:rsid w:val="00173FDF"/>
    <w:rsid w:val="00174B4A"/>
    <w:rsid w:val="00174DAC"/>
    <w:rsid w:val="00176A33"/>
    <w:rsid w:val="00176A99"/>
    <w:rsid w:val="00187618"/>
    <w:rsid w:val="0019115B"/>
    <w:rsid w:val="00191EFA"/>
    <w:rsid w:val="0019521C"/>
    <w:rsid w:val="001955F4"/>
    <w:rsid w:val="001970E6"/>
    <w:rsid w:val="00197E84"/>
    <w:rsid w:val="001A5A92"/>
    <w:rsid w:val="001A716D"/>
    <w:rsid w:val="001A7712"/>
    <w:rsid w:val="001B29B3"/>
    <w:rsid w:val="001B320E"/>
    <w:rsid w:val="001B7EF5"/>
    <w:rsid w:val="001C29BA"/>
    <w:rsid w:val="001C3738"/>
    <w:rsid w:val="001C5E21"/>
    <w:rsid w:val="001D33D6"/>
    <w:rsid w:val="001D5400"/>
    <w:rsid w:val="001D7308"/>
    <w:rsid w:val="001D7B2A"/>
    <w:rsid w:val="001E1583"/>
    <w:rsid w:val="001E2CBA"/>
    <w:rsid w:val="001E3423"/>
    <w:rsid w:val="001E6FD3"/>
    <w:rsid w:val="001E759E"/>
    <w:rsid w:val="001F08E1"/>
    <w:rsid w:val="001F2C5F"/>
    <w:rsid w:val="001F3211"/>
    <w:rsid w:val="001F4160"/>
    <w:rsid w:val="001F484B"/>
    <w:rsid w:val="00204A54"/>
    <w:rsid w:val="00204FA7"/>
    <w:rsid w:val="00206A05"/>
    <w:rsid w:val="00207041"/>
    <w:rsid w:val="002121F6"/>
    <w:rsid w:val="002135C6"/>
    <w:rsid w:val="0023169F"/>
    <w:rsid w:val="00235A1C"/>
    <w:rsid w:val="0023629A"/>
    <w:rsid w:val="00237F04"/>
    <w:rsid w:val="00242462"/>
    <w:rsid w:val="00242479"/>
    <w:rsid w:val="0024521A"/>
    <w:rsid w:val="00250208"/>
    <w:rsid w:val="002531F5"/>
    <w:rsid w:val="0025721E"/>
    <w:rsid w:val="00257C2A"/>
    <w:rsid w:val="0026670D"/>
    <w:rsid w:val="00267200"/>
    <w:rsid w:val="00272A7E"/>
    <w:rsid w:val="00281716"/>
    <w:rsid w:val="00281B41"/>
    <w:rsid w:val="00282BB6"/>
    <w:rsid w:val="0028350B"/>
    <w:rsid w:val="002839E0"/>
    <w:rsid w:val="0028460C"/>
    <w:rsid w:val="00286377"/>
    <w:rsid w:val="002873A5"/>
    <w:rsid w:val="0028765A"/>
    <w:rsid w:val="0029353C"/>
    <w:rsid w:val="00296EC5"/>
    <w:rsid w:val="00297F85"/>
    <w:rsid w:val="002A6A16"/>
    <w:rsid w:val="002B22E4"/>
    <w:rsid w:val="002B3A55"/>
    <w:rsid w:val="002B4569"/>
    <w:rsid w:val="002B6106"/>
    <w:rsid w:val="002C2097"/>
    <w:rsid w:val="002C20F4"/>
    <w:rsid w:val="002C29CC"/>
    <w:rsid w:val="002C30CC"/>
    <w:rsid w:val="002C3DEB"/>
    <w:rsid w:val="002C55B7"/>
    <w:rsid w:val="002C596C"/>
    <w:rsid w:val="002D26E3"/>
    <w:rsid w:val="002D6B8B"/>
    <w:rsid w:val="002D789E"/>
    <w:rsid w:val="002E13E7"/>
    <w:rsid w:val="002E509B"/>
    <w:rsid w:val="002E638A"/>
    <w:rsid w:val="002E7B71"/>
    <w:rsid w:val="002F1BD4"/>
    <w:rsid w:val="002F3856"/>
    <w:rsid w:val="002F40F3"/>
    <w:rsid w:val="002F7453"/>
    <w:rsid w:val="003002F3"/>
    <w:rsid w:val="0030279F"/>
    <w:rsid w:val="003042FC"/>
    <w:rsid w:val="00305105"/>
    <w:rsid w:val="00306299"/>
    <w:rsid w:val="00311EC6"/>
    <w:rsid w:val="0031307F"/>
    <w:rsid w:val="003149F5"/>
    <w:rsid w:val="00315089"/>
    <w:rsid w:val="00323602"/>
    <w:rsid w:val="0032417D"/>
    <w:rsid w:val="0033011D"/>
    <w:rsid w:val="003303B0"/>
    <w:rsid w:val="00331392"/>
    <w:rsid w:val="00333C81"/>
    <w:rsid w:val="0033682E"/>
    <w:rsid w:val="003421CD"/>
    <w:rsid w:val="003451F5"/>
    <w:rsid w:val="003457BA"/>
    <w:rsid w:val="00345C4E"/>
    <w:rsid w:val="003478ED"/>
    <w:rsid w:val="003506C0"/>
    <w:rsid w:val="00355AAC"/>
    <w:rsid w:val="003573BF"/>
    <w:rsid w:val="00360947"/>
    <w:rsid w:val="003620B5"/>
    <w:rsid w:val="00364AE6"/>
    <w:rsid w:val="0036623B"/>
    <w:rsid w:val="00366CF0"/>
    <w:rsid w:val="003730CB"/>
    <w:rsid w:val="003761CF"/>
    <w:rsid w:val="00376330"/>
    <w:rsid w:val="003770F0"/>
    <w:rsid w:val="00377927"/>
    <w:rsid w:val="00381721"/>
    <w:rsid w:val="00381D29"/>
    <w:rsid w:val="00382E3D"/>
    <w:rsid w:val="0038781C"/>
    <w:rsid w:val="00397C1A"/>
    <w:rsid w:val="003A0B72"/>
    <w:rsid w:val="003A10D7"/>
    <w:rsid w:val="003A21D7"/>
    <w:rsid w:val="003A360F"/>
    <w:rsid w:val="003A3AC2"/>
    <w:rsid w:val="003A7BCB"/>
    <w:rsid w:val="003B162B"/>
    <w:rsid w:val="003B1919"/>
    <w:rsid w:val="003B3670"/>
    <w:rsid w:val="003C1580"/>
    <w:rsid w:val="003C1CA4"/>
    <w:rsid w:val="003C3EEA"/>
    <w:rsid w:val="003C69E3"/>
    <w:rsid w:val="003D19C7"/>
    <w:rsid w:val="003D277C"/>
    <w:rsid w:val="003D34BF"/>
    <w:rsid w:val="003D3DAB"/>
    <w:rsid w:val="003F01CF"/>
    <w:rsid w:val="003F39AD"/>
    <w:rsid w:val="003F42F4"/>
    <w:rsid w:val="00400485"/>
    <w:rsid w:val="00402365"/>
    <w:rsid w:val="00403084"/>
    <w:rsid w:val="00403D32"/>
    <w:rsid w:val="00410AC2"/>
    <w:rsid w:val="0041260A"/>
    <w:rsid w:val="00414D61"/>
    <w:rsid w:val="004233DE"/>
    <w:rsid w:val="0042364C"/>
    <w:rsid w:val="00423CDA"/>
    <w:rsid w:val="00426447"/>
    <w:rsid w:val="00430419"/>
    <w:rsid w:val="00431DC9"/>
    <w:rsid w:val="00432842"/>
    <w:rsid w:val="00433435"/>
    <w:rsid w:val="00433987"/>
    <w:rsid w:val="00435B49"/>
    <w:rsid w:val="004405AB"/>
    <w:rsid w:val="00440A8F"/>
    <w:rsid w:val="00442751"/>
    <w:rsid w:val="0044286B"/>
    <w:rsid w:val="00447E2C"/>
    <w:rsid w:val="0045351E"/>
    <w:rsid w:val="00453DFE"/>
    <w:rsid w:val="00454A4C"/>
    <w:rsid w:val="004552D4"/>
    <w:rsid w:val="0046237E"/>
    <w:rsid w:val="0046391C"/>
    <w:rsid w:val="00470A5E"/>
    <w:rsid w:val="00470A98"/>
    <w:rsid w:val="004739BC"/>
    <w:rsid w:val="00476DEA"/>
    <w:rsid w:val="004808E7"/>
    <w:rsid w:val="00483282"/>
    <w:rsid w:val="00484A4D"/>
    <w:rsid w:val="0048563A"/>
    <w:rsid w:val="0049181B"/>
    <w:rsid w:val="0049218B"/>
    <w:rsid w:val="00493823"/>
    <w:rsid w:val="00495002"/>
    <w:rsid w:val="0049528B"/>
    <w:rsid w:val="00496AD3"/>
    <w:rsid w:val="004A41C0"/>
    <w:rsid w:val="004A5582"/>
    <w:rsid w:val="004A5F7E"/>
    <w:rsid w:val="004A761C"/>
    <w:rsid w:val="004B0A75"/>
    <w:rsid w:val="004B2743"/>
    <w:rsid w:val="004B4873"/>
    <w:rsid w:val="004C3F27"/>
    <w:rsid w:val="004C628B"/>
    <w:rsid w:val="004C6A12"/>
    <w:rsid w:val="004D0F65"/>
    <w:rsid w:val="004D4E74"/>
    <w:rsid w:val="004D5645"/>
    <w:rsid w:val="004D58FA"/>
    <w:rsid w:val="004E55E5"/>
    <w:rsid w:val="004E6EB4"/>
    <w:rsid w:val="004E7413"/>
    <w:rsid w:val="004E7C02"/>
    <w:rsid w:val="004F3FD9"/>
    <w:rsid w:val="004F60DD"/>
    <w:rsid w:val="004F6637"/>
    <w:rsid w:val="00504499"/>
    <w:rsid w:val="00510018"/>
    <w:rsid w:val="005119D0"/>
    <w:rsid w:val="005124DB"/>
    <w:rsid w:val="005127A1"/>
    <w:rsid w:val="00513FCE"/>
    <w:rsid w:val="00514020"/>
    <w:rsid w:val="005151D9"/>
    <w:rsid w:val="00515463"/>
    <w:rsid w:val="00532259"/>
    <w:rsid w:val="00534AD6"/>
    <w:rsid w:val="0053563C"/>
    <w:rsid w:val="00537F7B"/>
    <w:rsid w:val="00542981"/>
    <w:rsid w:val="005476BD"/>
    <w:rsid w:val="00547A26"/>
    <w:rsid w:val="00551E91"/>
    <w:rsid w:val="0055226A"/>
    <w:rsid w:val="00552650"/>
    <w:rsid w:val="00553A18"/>
    <w:rsid w:val="00560119"/>
    <w:rsid w:val="005642C7"/>
    <w:rsid w:val="00571C31"/>
    <w:rsid w:val="00571CBE"/>
    <w:rsid w:val="00575385"/>
    <w:rsid w:val="00580067"/>
    <w:rsid w:val="00583187"/>
    <w:rsid w:val="00583CF7"/>
    <w:rsid w:val="005846EB"/>
    <w:rsid w:val="0059620E"/>
    <w:rsid w:val="005A0BE1"/>
    <w:rsid w:val="005A10F4"/>
    <w:rsid w:val="005A255C"/>
    <w:rsid w:val="005A2C4C"/>
    <w:rsid w:val="005A2EF8"/>
    <w:rsid w:val="005A42C6"/>
    <w:rsid w:val="005A43A4"/>
    <w:rsid w:val="005A5D97"/>
    <w:rsid w:val="005A6F5F"/>
    <w:rsid w:val="005A7ACE"/>
    <w:rsid w:val="005B2F30"/>
    <w:rsid w:val="005B3010"/>
    <w:rsid w:val="005B32EA"/>
    <w:rsid w:val="005C085D"/>
    <w:rsid w:val="005C1833"/>
    <w:rsid w:val="005C3686"/>
    <w:rsid w:val="005C4DB8"/>
    <w:rsid w:val="005C52B3"/>
    <w:rsid w:val="005C5557"/>
    <w:rsid w:val="005C7DCA"/>
    <w:rsid w:val="005D23CB"/>
    <w:rsid w:val="005D297F"/>
    <w:rsid w:val="005D6ADA"/>
    <w:rsid w:val="005E0A76"/>
    <w:rsid w:val="005E16FF"/>
    <w:rsid w:val="005E4A43"/>
    <w:rsid w:val="005E4F85"/>
    <w:rsid w:val="005E5A5D"/>
    <w:rsid w:val="005E66ED"/>
    <w:rsid w:val="005E792C"/>
    <w:rsid w:val="005E7EA0"/>
    <w:rsid w:val="005F0CD0"/>
    <w:rsid w:val="005F1040"/>
    <w:rsid w:val="005F25C3"/>
    <w:rsid w:val="005F2F4E"/>
    <w:rsid w:val="005F3FB9"/>
    <w:rsid w:val="005F6A6E"/>
    <w:rsid w:val="005F6C76"/>
    <w:rsid w:val="005F7716"/>
    <w:rsid w:val="0060305C"/>
    <w:rsid w:val="006037BD"/>
    <w:rsid w:val="0060478B"/>
    <w:rsid w:val="00604D51"/>
    <w:rsid w:val="006055E0"/>
    <w:rsid w:val="006059F5"/>
    <w:rsid w:val="00606A02"/>
    <w:rsid w:val="00607564"/>
    <w:rsid w:val="00611B5D"/>
    <w:rsid w:val="00612344"/>
    <w:rsid w:val="00614554"/>
    <w:rsid w:val="00614FC4"/>
    <w:rsid w:val="00622CDB"/>
    <w:rsid w:val="00622FF3"/>
    <w:rsid w:val="00623BF2"/>
    <w:rsid w:val="00623F56"/>
    <w:rsid w:val="006254E9"/>
    <w:rsid w:val="0063017F"/>
    <w:rsid w:val="00632072"/>
    <w:rsid w:val="00637E1C"/>
    <w:rsid w:val="0064224E"/>
    <w:rsid w:val="00653D2B"/>
    <w:rsid w:val="00655441"/>
    <w:rsid w:val="006568AA"/>
    <w:rsid w:val="00657D11"/>
    <w:rsid w:val="006615A9"/>
    <w:rsid w:val="0066267F"/>
    <w:rsid w:val="00663328"/>
    <w:rsid w:val="00664F1B"/>
    <w:rsid w:val="00666C0A"/>
    <w:rsid w:val="00674C45"/>
    <w:rsid w:val="00676D65"/>
    <w:rsid w:val="00677611"/>
    <w:rsid w:val="00677EBB"/>
    <w:rsid w:val="00680768"/>
    <w:rsid w:val="00682D05"/>
    <w:rsid w:val="0068527F"/>
    <w:rsid w:val="006858B9"/>
    <w:rsid w:val="00685F6D"/>
    <w:rsid w:val="00692105"/>
    <w:rsid w:val="00692BED"/>
    <w:rsid w:val="006947F0"/>
    <w:rsid w:val="0069514C"/>
    <w:rsid w:val="0069570C"/>
    <w:rsid w:val="00696DA0"/>
    <w:rsid w:val="00697249"/>
    <w:rsid w:val="00697A20"/>
    <w:rsid w:val="006A075F"/>
    <w:rsid w:val="006A0FFB"/>
    <w:rsid w:val="006A5668"/>
    <w:rsid w:val="006A6B6C"/>
    <w:rsid w:val="006A76A9"/>
    <w:rsid w:val="006A78CF"/>
    <w:rsid w:val="006B0243"/>
    <w:rsid w:val="006B550C"/>
    <w:rsid w:val="006C1494"/>
    <w:rsid w:val="006C3A50"/>
    <w:rsid w:val="006C3E1F"/>
    <w:rsid w:val="006C3EDB"/>
    <w:rsid w:val="006C44E1"/>
    <w:rsid w:val="006C4809"/>
    <w:rsid w:val="006C4A90"/>
    <w:rsid w:val="006C4E2F"/>
    <w:rsid w:val="006D2D9B"/>
    <w:rsid w:val="006D4A4D"/>
    <w:rsid w:val="006D5F38"/>
    <w:rsid w:val="006D78DF"/>
    <w:rsid w:val="006E1BA9"/>
    <w:rsid w:val="006E50D8"/>
    <w:rsid w:val="006E7F46"/>
    <w:rsid w:val="006F14A9"/>
    <w:rsid w:val="006F1E97"/>
    <w:rsid w:val="006F5761"/>
    <w:rsid w:val="00702304"/>
    <w:rsid w:val="007029FF"/>
    <w:rsid w:val="00704488"/>
    <w:rsid w:val="00710D1F"/>
    <w:rsid w:val="007119B5"/>
    <w:rsid w:val="00712633"/>
    <w:rsid w:val="0071278A"/>
    <w:rsid w:val="00713523"/>
    <w:rsid w:val="007179DA"/>
    <w:rsid w:val="00720AAB"/>
    <w:rsid w:val="00720C8A"/>
    <w:rsid w:val="00723297"/>
    <w:rsid w:val="0072449F"/>
    <w:rsid w:val="00725E26"/>
    <w:rsid w:val="0073425B"/>
    <w:rsid w:val="00737994"/>
    <w:rsid w:val="00743773"/>
    <w:rsid w:val="00743911"/>
    <w:rsid w:val="00743FA0"/>
    <w:rsid w:val="0074527D"/>
    <w:rsid w:val="00745660"/>
    <w:rsid w:val="00746BBD"/>
    <w:rsid w:val="007504D8"/>
    <w:rsid w:val="007517D0"/>
    <w:rsid w:val="00751AB5"/>
    <w:rsid w:val="007539D5"/>
    <w:rsid w:val="0075488E"/>
    <w:rsid w:val="00754CF2"/>
    <w:rsid w:val="00755F34"/>
    <w:rsid w:val="007571B0"/>
    <w:rsid w:val="00757D7F"/>
    <w:rsid w:val="00760479"/>
    <w:rsid w:val="00764F41"/>
    <w:rsid w:val="00766EF9"/>
    <w:rsid w:val="007703C7"/>
    <w:rsid w:val="0077500E"/>
    <w:rsid w:val="00780BBD"/>
    <w:rsid w:val="00785A3F"/>
    <w:rsid w:val="00787DEE"/>
    <w:rsid w:val="0079119E"/>
    <w:rsid w:val="00791275"/>
    <w:rsid w:val="007913DD"/>
    <w:rsid w:val="00792F0C"/>
    <w:rsid w:val="007939E0"/>
    <w:rsid w:val="007944E7"/>
    <w:rsid w:val="00796D49"/>
    <w:rsid w:val="007A0AA5"/>
    <w:rsid w:val="007A36ED"/>
    <w:rsid w:val="007A50F3"/>
    <w:rsid w:val="007A78D8"/>
    <w:rsid w:val="007B66E7"/>
    <w:rsid w:val="007B7C71"/>
    <w:rsid w:val="007C54D1"/>
    <w:rsid w:val="007C6303"/>
    <w:rsid w:val="007D1126"/>
    <w:rsid w:val="007D2AD3"/>
    <w:rsid w:val="007D463A"/>
    <w:rsid w:val="007D5AEF"/>
    <w:rsid w:val="007E52BE"/>
    <w:rsid w:val="007E65D9"/>
    <w:rsid w:val="007F1BF2"/>
    <w:rsid w:val="007F29AA"/>
    <w:rsid w:val="007F4042"/>
    <w:rsid w:val="007F5D36"/>
    <w:rsid w:val="0080279E"/>
    <w:rsid w:val="00803DBA"/>
    <w:rsid w:val="00807FF9"/>
    <w:rsid w:val="00815C35"/>
    <w:rsid w:val="00816602"/>
    <w:rsid w:val="00824E07"/>
    <w:rsid w:val="00824F48"/>
    <w:rsid w:val="008253FB"/>
    <w:rsid w:val="00831317"/>
    <w:rsid w:val="00831F5C"/>
    <w:rsid w:val="00832DE7"/>
    <w:rsid w:val="0084564B"/>
    <w:rsid w:val="008503C8"/>
    <w:rsid w:val="00851098"/>
    <w:rsid w:val="00851670"/>
    <w:rsid w:val="00856242"/>
    <w:rsid w:val="00856E38"/>
    <w:rsid w:val="00862EF2"/>
    <w:rsid w:val="00864173"/>
    <w:rsid w:val="00865401"/>
    <w:rsid w:val="00881326"/>
    <w:rsid w:val="00881D59"/>
    <w:rsid w:val="008835C9"/>
    <w:rsid w:val="00883F24"/>
    <w:rsid w:val="00885620"/>
    <w:rsid w:val="008A3E97"/>
    <w:rsid w:val="008A40A1"/>
    <w:rsid w:val="008A5B5F"/>
    <w:rsid w:val="008A7CDA"/>
    <w:rsid w:val="008B0CFB"/>
    <w:rsid w:val="008B27D9"/>
    <w:rsid w:val="008B3CF2"/>
    <w:rsid w:val="008C2AAD"/>
    <w:rsid w:val="008C2F37"/>
    <w:rsid w:val="008C56E1"/>
    <w:rsid w:val="008D223E"/>
    <w:rsid w:val="008D29F2"/>
    <w:rsid w:val="008D3CA1"/>
    <w:rsid w:val="008D3EF8"/>
    <w:rsid w:val="008D45DE"/>
    <w:rsid w:val="008D5E38"/>
    <w:rsid w:val="008D5EB9"/>
    <w:rsid w:val="008D71E5"/>
    <w:rsid w:val="008E1E9C"/>
    <w:rsid w:val="008E32CD"/>
    <w:rsid w:val="008E546A"/>
    <w:rsid w:val="008E7225"/>
    <w:rsid w:val="008F0C01"/>
    <w:rsid w:val="008F55F8"/>
    <w:rsid w:val="008F5E60"/>
    <w:rsid w:val="00903045"/>
    <w:rsid w:val="00904C71"/>
    <w:rsid w:val="009061A3"/>
    <w:rsid w:val="00906C0F"/>
    <w:rsid w:val="009113BE"/>
    <w:rsid w:val="0091193E"/>
    <w:rsid w:val="00911E04"/>
    <w:rsid w:val="00912C1C"/>
    <w:rsid w:val="00913BEE"/>
    <w:rsid w:val="009143D0"/>
    <w:rsid w:val="00916426"/>
    <w:rsid w:val="009165CF"/>
    <w:rsid w:val="00917618"/>
    <w:rsid w:val="009176A8"/>
    <w:rsid w:val="00925A49"/>
    <w:rsid w:val="00931DEF"/>
    <w:rsid w:val="0093363A"/>
    <w:rsid w:val="009344E7"/>
    <w:rsid w:val="009345C5"/>
    <w:rsid w:val="00937E6E"/>
    <w:rsid w:val="00940F73"/>
    <w:rsid w:val="00941211"/>
    <w:rsid w:val="0094345F"/>
    <w:rsid w:val="00943C8B"/>
    <w:rsid w:val="00945C29"/>
    <w:rsid w:val="009465B8"/>
    <w:rsid w:val="0095269D"/>
    <w:rsid w:val="009526DA"/>
    <w:rsid w:val="009536AE"/>
    <w:rsid w:val="00953B90"/>
    <w:rsid w:val="00956AA2"/>
    <w:rsid w:val="00957FC0"/>
    <w:rsid w:val="009644F1"/>
    <w:rsid w:val="00964E3F"/>
    <w:rsid w:val="00974501"/>
    <w:rsid w:val="009804F5"/>
    <w:rsid w:val="00985B78"/>
    <w:rsid w:val="0098629D"/>
    <w:rsid w:val="00986E20"/>
    <w:rsid w:val="00992135"/>
    <w:rsid w:val="00997029"/>
    <w:rsid w:val="009A10BC"/>
    <w:rsid w:val="009A22F2"/>
    <w:rsid w:val="009A2463"/>
    <w:rsid w:val="009A4385"/>
    <w:rsid w:val="009A553C"/>
    <w:rsid w:val="009A5D0A"/>
    <w:rsid w:val="009A7DCC"/>
    <w:rsid w:val="009B056E"/>
    <w:rsid w:val="009B0E8C"/>
    <w:rsid w:val="009B2CFA"/>
    <w:rsid w:val="009B41FD"/>
    <w:rsid w:val="009B6433"/>
    <w:rsid w:val="009B7AC9"/>
    <w:rsid w:val="009C2865"/>
    <w:rsid w:val="009C37E9"/>
    <w:rsid w:val="009C3A40"/>
    <w:rsid w:val="009C4905"/>
    <w:rsid w:val="009C4EA8"/>
    <w:rsid w:val="009C78D7"/>
    <w:rsid w:val="009D2806"/>
    <w:rsid w:val="009D3DC9"/>
    <w:rsid w:val="009D44CF"/>
    <w:rsid w:val="009D5FE7"/>
    <w:rsid w:val="009D70F5"/>
    <w:rsid w:val="009D7662"/>
    <w:rsid w:val="009E11C6"/>
    <w:rsid w:val="009E16F6"/>
    <w:rsid w:val="009E42C9"/>
    <w:rsid w:val="009E6EC0"/>
    <w:rsid w:val="009E766A"/>
    <w:rsid w:val="009F0198"/>
    <w:rsid w:val="009F0A40"/>
    <w:rsid w:val="009F33A5"/>
    <w:rsid w:val="009F3777"/>
    <w:rsid w:val="009F4D67"/>
    <w:rsid w:val="009F6271"/>
    <w:rsid w:val="009F64B0"/>
    <w:rsid w:val="00A03222"/>
    <w:rsid w:val="00A04475"/>
    <w:rsid w:val="00A05751"/>
    <w:rsid w:val="00A0723C"/>
    <w:rsid w:val="00A07851"/>
    <w:rsid w:val="00A11F5D"/>
    <w:rsid w:val="00A12017"/>
    <w:rsid w:val="00A23EC3"/>
    <w:rsid w:val="00A26245"/>
    <w:rsid w:val="00A267BA"/>
    <w:rsid w:val="00A268AC"/>
    <w:rsid w:val="00A27919"/>
    <w:rsid w:val="00A36880"/>
    <w:rsid w:val="00A3688D"/>
    <w:rsid w:val="00A374EC"/>
    <w:rsid w:val="00A43439"/>
    <w:rsid w:val="00A459F4"/>
    <w:rsid w:val="00A50DBE"/>
    <w:rsid w:val="00A51F6A"/>
    <w:rsid w:val="00A52AFA"/>
    <w:rsid w:val="00A539B8"/>
    <w:rsid w:val="00A54CE3"/>
    <w:rsid w:val="00A56253"/>
    <w:rsid w:val="00A619F4"/>
    <w:rsid w:val="00A620BE"/>
    <w:rsid w:val="00A63E24"/>
    <w:rsid w:val="00A64455"/>
    <w:rsid w:val="00A67E34"/>
    <w:rsid w:val="00A719C0"/>
    <w:rsid w:val="00A76E54"/>
    <w:rsid w:val="00A81237"/>
    <w:rsid w:val="00A815B9"/>
    <w:rsid w:val="00A819BF"/>
    <w:rsid w:val="00A81FD3"/>
    <w:rsid w:val="00A85845"/>
    <w:rsid w:val="00A87063"/>
    <w:rsid w:val="00A924E4"/>
    <w:rsid w:val="00A93DCA"/>
    <w:rsid w:val="00A95016"/>
    <w:rsid w:val="00A962E5"/>
    <w:rsid w:val="00A97350"/>
    <w:rsid w:val="00AA0A6B"/>
    <w:rsid w:val="00AA180D"/>
    <w:rsid w:val="00AA423A"/>
    <w:rsid w:val="00AA442C"/>
    <w:rsid w:val="00AA5439"/>
    <w:rsid w:val="00AA71F1"/>
    <w:rsid w:val="00AA7BA7"/>
    <w:rsid w:val="00AB5E51"/>
    <w:rsid w:val="00AB63E5"/>
    <w:rsid w:val="00AB7324"/>
    <w:rsid w:val="00AB7619"/>
    <w:rsid w:val="00AC2FED"/>
    <w:rsid w:val="00AC658A"/>
    <w:rsid w:val="00AD3267"/>
    <w:rsid w:val="00AD68DA"/>
    <w:rsid w:val="00AD69E5"/>
    <w:rsid w:val="00AE2CBE"/>
    <w:rsid w:val="00AE3E7E"/>
    <w:rsid w:val="00AF0485"/>
    <w:rsid w:val="00AF3913"/>
    <w:rsid w:val="00B00EDB"/>
    <w:rsid w:val="00B014CA"/>
    <w:rsid w:val="00B01F89"/>
    <w:rsid w:val="00B047C2"/>
    <w:rsid w:val="00B051A6"/>
    <w:rsid w:val="00B05C80"/>
    <w:rsid w:val="00B07E8F"/>
    <w:rsid w:val="00B1268E"/>
    <w:rsid w:val="00B13E3F"/>
    <w:rsid w:val="00B17075"/>
    <w:rsid w:val="00B23691"/>
    <w:rsid w:val="00B26C0C"/>
    <w:rsid w:val="00B26C74"/>
    <w:rsid w:val="00B30B76"/>
    <w:rsid w:val="00B353F5"/>
    <w:rsid w:val="00B54CD3"/>
    <w:rsid w:val="00B56139"/>
    <w:rsid w:val="00B61BE6"/>
    <w:rsid w:val="00B62ED2"/>
    <w:rsid w:val="00B65695"/>
    <w:rsid w:val="00B729A9"/>
    <w:rsid w:val="00B72FBC"/>
    <w:rsid w:val="00B742E3"/>
    <w:rsid w:val="00B75873"/>
    <w:rsid w:val="00B7634B"/>
    <w:rsid w:val="00B7786E"/>
    <w:rsid w:val="00B84E23"/>
    <w:rsid w:val="00B878EE"/>
    <w:rsid w:val="00B91AED"/>
    <w:rsid w:val="00B92636"/>
    <w:rsid w:val="00B932F2"/>
    <w:rsid w:val="00B96A23"/>
    <w:rsid w:val="00BA7246"/>
    <w:rsid w:val="00BB1F5C"/>
    <w:rsid w:val="00BB207D"/>
    <w:rsid w:val="00BB23E1"/>
    <w:rsid w:val="00BB4768"/>
    <w:rsid w:val="00BB52EC"/>
    <w:rsid w:val="00BC0BF5"/>
    <w:rsid w:val="00BC0F9D"/>
    <w:rsid w:val="00BC22B1"/>
    <w:rsid w:val="00BC4A1A"/>
    <w:rsid w:val="00BC4E72"/>
    <w:rsid w:val="00BC5205"/>
    <w:rsid w:val="00BC6136"/>
    <w:rsid w:val="00BC6822"/>
    <w:rsid w:val="00BC6A5B"/>
    <w:rsid w:val="00BC73DA"/>
    <w:rsid w:val="00BC7B0D"/>
    <w:rsid w:val="00BD3D7E"/>
    <w:rsid w:val="00BD70AF"/>
    <w:rsid w:val="00BE10FE"/>
    <w:rsid w:val="00BE2420"/>
    <w:rsid w:val="00BE354A"/>
    <w:rsid w:val="00BE355E"/>
    <w:rsid w:val="00BE3D8E"/>
    <w:rsid w:val="00BE712B"/>
    <w:rsid w:val="00BF21FD"/>
    <w:rsid w:val="00BF39CA"/>
    <w:rsid w:val="00BF4EF0"/>
    <w:rsid w:val="00BF5E88"/>
    <w:rsid w:val="00C0113E"/>
    <w:rsid w:val="00C060D7"/>
    <w:rsid w:val="00C12EFD"/>
    <w:rsid w:val="00C130B9"/>
    <w:rsid w:val="00C152E9"/>
    <w:rsid w:val="00C178A3"/>
    <w:rsid w:val="00C20A5B"/>
    <w:rsid w:val="00C21110"/>
    <w:rsid w:val="00C26B08"/>
    <w:rsid w:val="00C32237"/>
    <w:rsid w:val="00C33129"/>
    <w:rsid w:val="00C33DF4"/>
    <w:rsid w:val="00C34559"/>
    <w:rsid w:val="00C3501B"/>
    <w:rsid w:val="00C35E75"/>
    <w:rsid w:val="00C4293F"/>
    <w:rsid w:val="00C43860"/>
    <w:rsid w:val="00C44195"/>
    <w:rsid w:val="00C44A59"/>
    <w:rsid w:val="00C461BE"/>
    <w:rsid w:val="00C465CE"/>
    <w:rsid w:val="00C47069"/>
    <w:rsid w:val="00C503FE"/>
    <w:rsid w:val="00C542A5"/>
    <w:rsid w:val="00C54CE9"/>
    <w:rsid w:val="00C562C9"/>
    <w:rsid w:val="00C601D0"/>
    <w:rsid w:val="00C61AFD"/>
    <w:rsid w:val="00C62879"/>
    <w:rsid w:val="00C64CC1"/>
    <w:rsid w:val="00C72CC3"/>
    <w:rsid w:val="00C75058"/>
    <w:rsid w:val="00C75A5A"/>
    <w:rsid w:val="00C75ABC"/>
    <w:rsid w:val="00C80CCE"/>
    <w:rsid w:val="00C914A4"/>
    <w:rsid w:val="00C93398"/>
    <w:rsid w:val="00C9389A"/>
    <w:rsid w:val="00C94AB7"/>
    <w:rsid w:val="00C95E2F"/>
    <w:rsid w:val="00C96177"/>
    <w:rsid w:val="00C96CA9"/>
    <w:rsid w:val="00C97C1E"/>
    <w:rsid w:val="00CA04D1"/>
    <w:rsid w:val="00CA18D1"/>
    <w:rsid w:val="00CB05B6"/>
    <w:rsid w:val="00CB295C"/>
    <w:rsid w:val="00CB2EBF"/>
    <w:rsid w:val="00CB6CD2"/>
    <w:rsid w:val="00CC270A"/>
    <w:rsid w:val="00CC4583"/>
    <w:rsid w:val="00CC5694"/>
    <w:rsid w:val="00CC5C87"/>
    <w:rsid w:val="00CC6004"/>
    <w:rsid w:val="00CD2EE7"/>
    <w:rsid w:val="00CD67B3"/>
    <w:rsid w:val="00CE29E1"/>
    <w:rsid w:val="00CE6FF1"/>
    <w:rsid w:val="00CF0E22"/>
    <w:rsid w:val="00CF14FC"/>
    <w:rsid w:val="00CF1638"/>
    <w:rsid w:val="00CF1A3A"/>
    <w:rsid w:val="00CF2346"/>
    <w:rsid w:val="00CF2746"/>
    <w:rsid w:val="00CF5E36"/>
    <w:rsid w:val="00D04C6A"/>
    <w:rsid w:val="00D13BF9"/>
    <w:rsid w:val="00D14C3D"/>
    <w:rsid w:val="00D16479"/>
    <w:rsid w:val="00D1656D"/>
    <w:rsid w:val="00D1685E"/>
    <w:rsid w:val="00D16DE2"/>
    <w:rsid w:val="00D25789"/>
    <w:rsid w:val="00D27078"/>
    <w:rsid w:val="00D270F4"/>
    <w:rsid w:val="00D31194"/>
    <w:rsid w:val="00D32272"/>
    <w:rsid w:val="00D367D4"/>
    <w:rsid w:val="00D43975"/>
    <w:rsid w:val="00D47C6E"/>
    <w:rsid w:val="00D50B65"/>
    <w:rsid w:val="00D5132B"/>
    <w:rsid w:val="00D52FCC"/>
    <w:rsid w:val="00D53A9B"/>
    <w:rsid w:val="00D53ADA"/>
    <w:rsid w:val="00D54C87"/>
    <w:rsid w:val="00D5569F"/>
    <w:rsid w:val="00D559FE"/>
    <w:rsid w:val="00D651DA"/>
    <w:rsid w:val="00D737F9"/>
    <w:rsid w:val="00D750F2"/>
    <w:rsid w:val="00D758FB"/>
    <w:rsid w:val="00D76D70"/>
    <w:rsid w:val="00D80D7C"/>
    <w:rsid w:val="00D81A31"/>
    <w:rsid w:val="00D82832"/>
    <w:rsid w:val="00D82B0F"/>
    <w:rsid w:val="00D868FD"/>
    <w:rsid w:val="00D87ECA"/>
    <w:rsid w:val="00D9126A"/>
    <w:rsid w:val="00D91B90"/>
    <w:rsid w:val="00D93796"/>
    <w:rsid w:val="00D9795C"/>
    <w:rsid w:val="00DA1DFB"/>
    <w:rsid w:val="00DA3D38"/>
    <w:rsid w:val="00DA42A3"/>
    <w:rsid w:val="00DA49E4"/>
    <w:rsid w:val="00DA5344"/>
    <w:rsid w:val="00DA58C6"/>
    <w:rsid w:val="00DA74E8"/>
    <w:rsid w:val="00DB12F6"/>
    <w:rsid w:val="00DB146A"/>
    <w:rsid w:val="00DB513A"/>
    <w:rsid w:val="00DB655C"/>
    <w:rsid w:val="00DB6A39"/>
    <w:rsid w:val="00DB7DE2"/>
    <w:rsid w:val="00DC2AD9"/>
    <w:rsid w:val="00DC7447"/>
    <w:rsid w:val="00DD01AB"/>
    <w:rsid w:val="00DD1572"/>
    <w:rsid w:val="00DD4701"/>
    <w:rsid w:val="00DD4DE1"/>
    <w:rsid w:val="00DE0EE4"/>
    <w:rsid w:val="00DE27F8"/>
    <w:rsid w:val="00DE3064"/>
    <w:rsid w:val="00DE380B"/>
    <w:rsid w:val="00DE4965"/>
    <w:rsid w:val="00DE504B"/>
    <w:rsid w:val="00DE52CE"/>
    <w:rsid w:val="00DE59EC"/>
    <w:rsid w:val="00DE71D2"/>
    <w:rsid w:val="00DE75FF"/>
    <w:rsid w:val="00DF5A91"/>
    <w:rsid w:val="00DF6D28"/>
    <w:rsid w:val="00E04B9E"/>
    <w:rsid w:val="00E0566A"/>
    <w:rsid w:val="00E115EF"/>
    <w:rsid w:val="00E11FAE"/>
    <w:rsid w:val="00E12C27"/>
    <w:rsid w:val="00E13D38"/>
    <w:rsid w:val="00E13E78"/>
    <w:rsid w:val="00E16EA0"/>
    <w:rsid w:val="00E25993"/>
    <w:rsid w:val="00E25BFB"/>
    <w:rsid w:val="00E2734D"/>
    <w:rsid w:val="00E274CD"/>
    <w:rsid w:val="00E33F7C"/>
    <w:rsid w:val="00E34233"/>
    <w:rsid w:val="00E356E0"/>
    <w:rsid w:val="00E36677"/>
    <w:rsid w:val="00E379F5"/>
    <w:rsid w:val="00E40261"/>
    <w:rsid w:val="00E404C5"/>
    <w:rsid w:val="00E40EF0"/>
    <w:rsid w:val="00E43FF1"/>
    <w:rsid w:val="00E4685E"/>
    <w:rsid w:val="00E47746"/>
    <w:rsid w:val="00E516EB"/>
    <w:rsid w:val="00E553B2"/>
    <w:rsid w:val="00E5700B"/>
    <w:rsid w:val="00E614C0"/>
    <w:rsid w:val="00E647CC"/>
    <w:rsid w:val="00E652C5"/>
    <w:rsid w:val="00E66821"/>
    <w:rsid w:val="00E66E30"/>
    <w:rsid w:val="00E70282"/>
    <w:rsid w:val="00E71045"/>
    <w:rsid w:val="00E71BD4"/>
    <w:rsid w:val="00E732FD"/>
    <w:rsid w:val="00E7653E"/>
    <w:rsid w:val="00E7680E"/>
    <w:rsid w:val="00E80210"/>
    <w:rsid w:val="00E82B9A"/>
    <w:rsid w:val="00E85029"/>
    <w:rsid w:val="00E8564E"/>
    <w:rsid w:val="00E93065"/>
    <w:rsid w:val="00E93DA5"/>
    <w:rsid w:val="00E979BB"/>
    <w:rsid w:val="00EA52E4"/>
    <w:rsid w:val="00EB06FE"/>
    <w:rsid w:val="00EB09C8"/>
    <w:rsid w:val="00EB20AE"/>
    <w:rsid w:val="00EB5054"/>
    <w:rsid w:val="00EB6098"/>
    <w:rsid w:val="00EB6597"/>
    <w:rsid w:val="00EB698F"/>
    <w:rsid w:val="00EB6A45"/>
    <w:rsid w:val="00EC0DCE"/>
    <w:rsid w:val="00EC5A2A"/>
    <w:rsid w:val="00ED24B6"/>
    <w:rsid w:val="00ED24ED"/>
    <w:rsid w:val="00ED5ABD"/>
    <w:rsid w:val="00ED6B4F"/>
    <w:rsid w:val="00EE08CA"/>
    <w:rsid w:val="00EE1C72"/>
    <w:rsid w:val="00EE4135"/>
    <w:rsid w:val="00EE4527"/>
    <w:rsid w:val="00EE618B"/>
    <w:rsid w:val="00EF024C"/>
    <w:rsid w:val="00EF0E90"/>
    <w:rsid w:val="00EF1B7E"/>
    <w:rsid w:val="00EF1C84"/>
    <w:rsid w:val="00EF338C"/>
    <w:rsid w:val="00EF4007"/>
    <w:rsid w:val="00EF4C8A"/>
    <w:rsid w:val="00EF5DF5"/>
    <w:rsid w:val="00EF6EB0"/>
    <w:rsid w:val="00EF750E"/>
    <w:rsid w:val="00F01B44"/>
    <w:rsid w:val="00F04F99"/>
    <w:rsid w:val="00F0710A"/>
    <w:rsid w:val="00F07764"/>
    <w:rsid w:val="00F10603"/>
    <w:rsid w:val="00F11365"/>
    <w:rsid w:val="00F1761D"/>
    <w:rsid w:val="00F3274C"/>
    <w:rsid w:val="00F362DE"/>
    <w:rsid w:val="00F45F9D"/>
    <w:rsid w:val="00F51DA2"/>
    <w:rsid w:val="00F5415A"/>
    <w:rsid w:val="00F601E8"/>
    <w:rsid w:val="00F60EA1"/>
    <w:rsid w:val="00F64B16"/>
    <w:rsid w:val="00F6732B"/>
    <w:rsid w:val="00F67C09"/>
    <w:rsid w:val="00F7591D"/>
    <w:rsid w:val="00F7699C"/>
    <w:rsid w:val="00F81BE8"/>
    <w:rsid w:val="00F84F40"/>
    <w:rsid w:val="00F85105"/>
    <w:rsid w:val="00FA22E0"/>
    <w:rsid w:val="00FA48A7"/>
    <w:rsid w:val="00FA7C91"/>
    <w:rsid w:val="00FA7D31"/>
    <w:rsid w:val="00FB29C0"/>
    <w:rsid w:val="00FB4C6A"/>
    <w:rsid w:val="00FB5DDD"/>
    <w:rsid w:val="00FC7371"/>
    <w:rsid w:val="00FE39BD"/>
    <w:rsid w:val="00FE48A3"/>
    <w:rsid w:val="00FE5783"/>
    <w:rsid w:val="00FE76E7"/>
    <w:rsid w:val="00FE7B65"/>
    <w:rsid w:val="00FF3359"/>
    <w:rsid w:val="00FF442E"/>
    <w:rsid w:val="00FF4B0A"/>
    <w:rsid w:val="00FF5BB4"/>
    <w:rsid w:val="00FF63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64F4"/>
  <w15:chartTrackingRefBased/>
  <w15:docId w15:val="{7E70F2C1-50B4-4B6D-A266-9DD58B6A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C1C"/>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912C1C"/>
    <w:pPr>
      <w:spacing w:after="240"/>
      <w:outlineLvl w:val="0"/>
    </w:pPr>
    <w:rPr>
      <w:rFonts w:ascii="Arial Bold" w:hAnsi="Arial Bold"/>
      <w:b/>
      <w:kern w:val="34"/>
      <w:sz w:val="36"/>
    </w:rPr>
  </w:style>
  <w:style w:type="paragraph" w:styleId="Heading2">
    <w:name w:val="heading 2"/>
    <w:basedOn w:val="HeadingBase"/>
    <w:next w:val="Normal"/>
    <w:link w:val="Heading2Char"/>
    <w:qFormat/>
    <w:rsid w:val="00912C1C"/>
    <w:pPr>
      <w:spacing w:before="240" w:after="240"/>
      <w:outlineLvl w:val="1"/>
    </w:pPr>
    <w:rPr>
      <w:rFonts w:ascii="Arial Bold" w:hAnsi="Arial Bold"/>
      <w:b/>
      <w:sz w:val="26"/>
    </w:rPr>
  </w:style>
  <w:style w:type="paragraph" w:styleId="Heading3">
    <w:name w:val="heading 3"/>
    <w:basedOn w:val="HeadingBase"/>
    <w:next w:val="Normal"/>
    <w:link w:val="Heading3Char"/>
    <w:qFormat/>
    <w:rsid w:val="00912C1C"/>
    <w:pPr>
      <w:spacing w:before="120" w:after="120"/>
      <w:outlineLvl w:val="2"/>
    </w:pPr>
    <w:rPr>
      <w:rFonts w:ascii="Arial Bold" w:hAnsi="Arial Bold"/>
      <w:b/>
      <w:sz w:val="22"/>
    </w:rPr>
  </w:style>
  <w:style w:type="paragraph" w:styleId="Heading4">
    <w:name w:val="heading 4"/>
    <w:basedOn w:val="HeadingBase"/>
    <w:next w:val="Normal"/>
    <w:link w:val="Heading4Char"/>
    <w:qFormat/>
    <w:rsid w:val="00912C1C"/>
    <w:pPr>
      <w:spacing w:after="120"/>
      <w:outlineLvl w:val="3"/>
    </w:pPr>
    <w:rPr>
      <w:rFonts w:ascii="Arial Bold" w:hAnsi="Arial Bold"/>
      <w:b/>
      <w:sz w:val="20"/>
    </w:rPr>
  </w:style>
  <w:style w:type="paragraph" w:styleId="Heading5">
    <w:name w:val="heading 5"/>
    <w:basedOn w:val="HeadingBase"/>
    <w:next w:val="Normal"/>
    <w:link w:val="Heading5Char"/>
    <w:qFormat/>
    <w:rsid w:val="00912C1C"/>
    <w:pPr>
      <w:spacing w:after="120"/>
      <w:outlineLvl w:val="4"/>
    </w:pPr>
    <w:rPr>
      <w:bCs/>
      <w:i/>
      <w:iCs/>
      <w:sz w:val="20"/>
      <w:szCs w:val="26"/>
    </w:rPr>
  </w:style>
  <w:style w:type="paragraph" w:styleId="Heading6">
    <w:name w:val="heading 6"/>
    <w:basedOn w:val="HeadingBase"/>
    <w:next w:val="Normal"/>
    <w:link w:val="Heading6Char"/>
    <w:rsid w:val="00912C1C"/>
    <w:pPr>
      <w:spacing w:after="120"/>
      <w:outlineLvl w:val="5"/>
    </w:pPr>
    <w:rPr>
      <w:bCs/>
      <w:sz w:val="20"/>
      <w:szCs w:val="22"/>
    </w:rPr>
  </w:style>
  <w:style w:type="paragraph" w:styleId="Heading7">
    <w:name w:val="heading 7"/>
    <w:basedOn w:val="HeadingBase"/>
    <w:next w:val="Normal"/>
    <w:link w:val="Heading7Char"/>
    <w:rsid w:val="00912C1C"/>
    <w:pPr>
      <w:spacing w:before="120"/>
      <w:outlineLvl w:val="6"/>
    </w:pPr>
    <w:rPr>
      <w:sz w:val="20"/>
      <w:szCs w:val="24"/>
    </w:rPr>
  </w:style>
  <w:style w:type="paragraph" w:styleId="Heading8">
    <w:name w:val="heading 8"/>
    <w:basedOn w:val="HeadingBase"/>
    <w:next w:val="Normal"/>
    <w:link w:val="Heading8Char"/>
    <w:rsid w:val="00912C1C"/>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912C1C"/>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912C1C"/>
    <w:pPr>
      <w:tabs>
        <w:tab w:val="center" w:pos="4153"/>
        <w:tab w:val="right" w:pos="8306"/>
      </w:tabs>
    </w:pPr>
  </w:style>
  <w:style w:type="character" w:customStyle="1" w:styleId="HeaderChar">
    <w:name w:val="Header Char"/>
    <w:basedOn w:val="DefaultParagraphFont"/>
    <w:link w:val="Header"/>
    <w:rsid w:val="00912C1C"/>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912C1C"/>
    <w:pPr>
      <w:tabs>
        <w:tab w:val="center" w:pos="4153"/>
        <w:tab w:val="right" w:pos="8306"/>
      </w:tabs>
    </w:pPr>
  </w:style>
  <w:style w:type="character" w:customStyle="1" w:styleId="FooterChar">
    <w:name w:val="Footer Char"/>
    <w:basedOn w:val="DefaultParagraphFont"/>
    <w:link w:val="Footer"/>
    <w:rsid w:val="00912C1C"/>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912C1C"/>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912C1C"/>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912C1C"/>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912C1C"/>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912C1C"/>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912C1C"/>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912C1C"/>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912C1C"/>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912C1C"/>
    <w:pPr>
      <w:jc w:val="center"/>
    </w:pPr>
    <w:rPr>
      <w:rFonts w:ascii="Arial Bold" w:hAnsi="Arial Bold"/>
      <w:b/>
      <w:caps/>
      <w:sz w:val="22"/>
    </w:rPr>
  </w:style>
  <w:style w:type="paragraph" w:customStyle="1" w:styleId="FileProperties">
    <w:name w:val="File Properties"/>
    <w:basedOn w:val="Normal"/>
    <w:rsid w:val="00912C1C"/>
    <w:pPr>
      <w:spacing w:before="0"/>
    </w:pPr>
    <w:rPr>
      <w:i/>
    </w:rPr>
  </w:style>
  <w:style w:type="paragraph" w:customStyle="1" w:styleId="AlphaParagraph">
    <w:name w:val="Alpha Paragraph"/>
    <w:basedOn w:val="Normal"/>
    <w:rsid w:val="00912C1C"/>
    <w:pPr>
      <w:numPr>
        <w:numId w:val="1"/>
      </w:numPr>
      <w:tabs>
        <w:tab w:val="clear" w:pos="567"/>
        <w:tab w:val="num" w:pos="360"/>
      </w:tabs>
      <w:ind w:left="0" w:firstLine="0"/>
    </w:pPr>
  </w:style>
  <w:style w:type="paragraph" w:customStyle="1" w:styleId="HeadingBase">
    <w:name w:val="Heading Base"/>
    <w:rsid w:val="00912C1C"/>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33F7C"/>
    <w:rPr>
      <w:bCs/>
      <w:color w:val="002A54" w:themeColor="text2"/>
      <w:szCs w:val="52"/>
    </w:rPr>
  </w:style>
  <w:style w:type="paragraph" w:customStyle="1" w:styleId="BoxText">
    <w:name w:val="Box Text"/>
    <w:basedOn w:val="Normal"/>
    <w:link w:val="BoxTextChar"/>
    <w:qFormat/>
    <w:rsid w:val="00912C1C"/>
    <w:pPr>
      <w:spacing w:before="120" w:after="120" w:line="240" w:lineRule="auto"/>
    </w:pPr>
  </w:style>
  <w:style w:type="paragraph" w:customStyle="1" w:styleId="BoxBullet">
    <w:name w:val="Box Bullet"/>
    <w:basedOn w:val="BoxText"/>
    <w:rsid w:val="00912C1C"/>
    <w:pPr>
      <w:numPr>
        <w:numId w:val="2"/>
      </w:numPr>
    </w:pPr>
  </w:style>
  <w:style w:type="paragraph" w:customStyle="1" w:styleId="BoxHeading">
    <w:name w:val="Box Heading"/>
    <w:basedOn w:val="HeadingBase"/>
    <w:next w:val="BoxText"/>
    <w:rsid w:val="00912C1C"/>
    <w:pPr>
      <w:spacing w:before="120" w:after="120"/>
    </w:pPr>
    <w:rPr>
      <w:b/>
      <w:sz w:val="20"/>
    </w:rPr>
  </w:style>
  <w:style w:type="character" w:customStyle="1" w:styleId="Heading6Char">
    <w:name w:val="Heading 6 Char"/>
    <w:basedOn w:val="DefaultParagraphFont"/>
    <w:link w:val="Heading6"/>
    <w:rsid w:val="00912C1C"/>
    <w:rPr>
      <w:rFonts w:ascii="Arial" w:eastAsia="Times New Roman" w:hAnsi="Arial" w:cs="Times New Roman"/>
      <w:bCs/>
      <w:sz w:val="20"/>
      <w:lang w:eastAsia="en-AU"/>
    </w:rPr>
  </w:style>
  <w:style w:type="paragraph" w:customStyle="1" w:styleId="Bullet">
    <w:name w:val="Bullet"/>
    <w:basedOn w:val="Normal"/>
    <w:qFormat/>
    <w:rsid w:val="00912C1C"/>
    <w:pPr>
      <w:numPr>
        <w:numId w:val="3"/>
      </w:numPr>
      <w:spacing w:after="160"/>
      <w:ind w:left="284" w:hanging="284"/>
    </w:pPr>
  </w:style>
  <w:style w:type="paragraph" w:styleId="Caption">
    <w:name w:val="caption"/>
    <w:basedOn w:val="Normal"/>
    <w:next w:val="Normal"/>
    <w:rsid w:val="00912C1C"/>
    <w:rPr>
      <w:b/>
      <w:bCs/>
    </w:rPr>
  </w:style>
  <w:style w:type="paragraph" w:customStyle="1" w:styleId="ChartandTableFootnote">
    <w:name w:val="Chart and Table Footnote"/>
    <w:basedOn w:val="HeadingBase"/>
    <w:next w:val="Normal"/>
    <w:rsid w:val="00912C1C"/>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912C1C"/>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912C1C"/>
    <w:pPr>
      <w:keepNext w:val="0"/>
      <w:tabs>
        <w:tab w:val="left" w:pos="284"/>
      </w:tabs>
      <w:jc w:val="both"/>
    </w:pPr>
    <w:rPr>
      <w:color w:val="000000"/>
      <w:sz w:val="15"/>
    </w:rPr>
  </w:style>
  <w:style w:type="paragraph" w:customStyle="1" w:styleId="ChartGraphic">
    <w:name w:val="Chart Graphic"/>
    <w:basedOn w:val="HeadingBase"/>
    <w:rsid w:val="00912C1C"/>
    <w:rPr>
      <w:sz w:val="20"/>
    </w:rPr>
  </w:style>
  <w:style w:type="paragraph" w:customStyle="1" w:styleId="TableLine">
    <w:name w:val="Table Line"/>
    <w:basedOn w:val="Normal"/>
    <w:next w:val="Normal"/>
    <w:autoRedefine/>
    <w:rsid w:val="0083131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912C1C"/>
    <w:pPr>
      <w:spacing w:after="60"/>
    </w:pPr>
    <w:rPr>
      <w:sz w:val="19"/>
    </w:rPr>
  </w:style>
  <w:style w:type="paragraph" w:styleId="CommentSubject">
    <w:name w:val="annotation subject"/>
    <w:basedOn w:val="CommentText"/>
    <w:next w:val="CommentText"/>
    <w:link w:val="CommentSubjectChar"/>
    <w:semiHidden/>
    <w:rsid w:val="00912C1C"/>
    <w:rPr>
      <w:b/>
      <w:bCs/>
    </w:rPr>
  </w:style>
  <w:style w:type="character" w:customStyle="1" w:styleId="CommentSubjectChar">
    <w:name w:val="Comment Subject Char"/>
    <w:basedOn w:val="CommentTextChar"/>
    <w:link w:val="CommentSubject"/>
    <w:semiHidden/>
    <w:rsid w:val="00912C1C"/>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912C1C"/>
    <w:pPr>
      <w:spacing w:after="720"/>
      <w:outlineLvl w:val="9"/>
    </w:pPr>
  </w:style>
  <w:style w:type="character" w:styleId="Strong">
    <w:name w:val="Strong"/>
    <w:basedOn w:val="DefaultParagraphFont"/>
    <w:uiPriority w:val="22"/>
    <w:qFormat/>
    <w:rsid w:val="00912C1C"/>
    <w:rPr>
      <w:b/>
      <w:bCs/>
      <w:color w:val="002A54" w:themeColor="text2"/>
    </w:rPr>
  </w:style>
  <w:style w:type="paragraph" w:customStyle="1" w:styleId="Dash">
    <w:name w:val="Dash"/>
    <w:basedOn w:val="Normal"/>
    <w:qFormat/>
    <w:rsid w:val="00912C1C"/>
    <w:pPr>
      <w:numPr>
        <w:ilvl w:val="1"/>
        <w:numId w:val="3"/>
      </w:numPr>
      <w:tabs>
        <w:tab w:val="left" w:pos="567"/>
      </w:tabs>
    </w:pPr>
  </w:style>
  <w:style w:type="paragraph" w:styleId="DocumentMap">
    <w:name w:val="Document Map"/>
    <w:basedOn w:val="Normal"/>
    <w:link w:val="DocumentMapChar"/>
    <w:semiHidden/>
    <w:rsid w:val="00912C1C"/>
    <w:pPr>
      <w:shd w:val="clear" w:color="auto" w:fill="000080"/>
    </w:pPr>
    <w:rPr>
      <w:rFonts w:ascii="Tahoma" w:hAnsi="Tahoma" w:cs="Tahoma"/>
    </w:rPr>
  </w:style>
  <w:style w:type="character" w:customStyle="1" w:styleId="DocumentMapChar">
    <w:name w:val="Document Map Char"/>
    <w:basedOn w:val="DefaultParagraphFont"/>
    <w:link w:val="DocumentMap"/>
    <w:semiHidden/>
    <w:rsid w:val="00912C1C"/>
    <w:rPr>
      <w:rFonts w:ascii="Tahoma" w:eastAsia="Times New Roman" w:hAnsi="Tahoma" w:cs="Tahoma"/>
      <w:sz w:val="19"/>
      <w:szCs w:val="20"/>
      <w:shd w:val="clear" w:color="auto" w:fill="000080"/>
      <w:lang w:eastAsia="en-AU"/>
    </w:rPr>
  </w:style>
  <w:style w:type="paragraph" w:customStyle="1" w:styleId="DoubleDot">
    <w:name w:val="Double Dot"/>
    <w:basedOn w:val="Normal"/>
    <w:rsid w:val="00912C1C"/>
    <w:pPr>
      <w:numPr>
        <w:ilvl w:val="2"/>
        <w:numId w:val="3"/>
      </w:numPr>
      <w:tabs>
        <w:tab w:val="clear" w:pos="850"/>
        <w:tab w:val="num" w:pos="360"/>
        <w:tab w:val="left" w:pos="851"/>
      </w:tabs>
    </w:pPr>
  </w:style>
  <w:style w:type="paragraph" w:customStyle="1" w:styleId="FigureHeading">
    <w:name w:val="Figure Heading"/>
    <w:basedOn w:val="HeadingBase"/>
    <w:next w:val="ChartGraphic"/>
    <w:rsid w:val="00912C1C"/>
    <w:pPr>
      <w:spacing w:before="120" w:after="20"/>
    </w:pPr>
    <w:rPr>
      <w:b/>
      <w:sz w:val="20"/>
    </w:rPr>
  </w:style>
  <w:style w:type="paragraph" w:customStyle="1" w:styleId="FooterBase">
    <w:name w:val="Footer Base"/>
    <w:rsid w:val="00912C1C"/>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912C1C"/>
    <w:pPr>
      <w:pBdr>
        <w:top w:val="single" w:sz="4" w:space="10" w:color="002A54" w:themeColor="text2"/>
      </w:pBdr>
      <w:jc w:val="left"/>
    </w:pPr>
    <w:rPr>
      <w:sz w:val="18"/>
    </w:rPr>
  </w:style>
  <w:style w:type="paragraph" w:customStyle="1" w:styleId="FooterOdd">
    <w:name w:val="Footer Odd"/>
    <w:basedOn w:val="Footer"/>
    <w:qFormat/>
    <w:rsid w:val="00912C1C"/>
    <w:pPr>
      <w:pBdr>
        <w:top w:val="single" w:sz="4" w:space="10" w:color="002A54" w:themeColor="text2"/>
      </w:pBdr>
      <w:jc w:val="right"/>
    </w:pPr>
    <w:rPr>
      <w:sz w:val="18"/>
    </w:rPr>
  </w:style>
  <w:style w:type="character" w:styleId="FootnoteReference">
    <w:name w:val="footnote reference"/>
    <w:basedOn w:val="DefaultParagraphFont"/>
    <w:rsid w:val="00912C1C"/>
    <w:rPr>
      <w:vertAlign w:val="superscript"/>
    </w:rPr>
  </w:style>
  <w:style w:type="paragraph" w:styleId="FootnoteText">
    <w:name w:val="footnote text"/>
    <w:basedOn w:val="Normal"/>
    <w:link w:val="FootnoteTextChar"/>
    <w:rsid w:val="00912C1C"/>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912C1C"/>
    <w:rPr>
      <w:rFonts w:ascii="Book Antiqua" w:eastAsia="Times New Roman" w:hAnsi="Book Antiqua" w:cs="Times New Roman"/>
      <w:sz w:val="18"/>
      <w:szCs w:val="20"/>
      <w:lang w:eastAsia="en-AU"/>
    </w:rPr>
  </w:style>
  <w:style w:type="paragraph" w:customStyle="1" w:styleId="HeaderBase">
    <w:name w:val="Header Base"/>
    <w:rsid w:val="00912C1C"/>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912C1C"/>
  </w:style>
  <w:style w:type="paragraph" w:customStyle="1" w:styleId="HeaderOdd">
    <w:name w:val="Header Odd"/>
    <w:basedOn w:val="HeaderBase"/>
    <w:rsid w:val="00912C1C"/>
    <w:pPr>
      <w:jc w:val="right"/>
    </w:pPr>
  </w:style>
  <w:style w:type="character" w:customStyle="1" w:styleId="Heading1Char">
    <w:name w:val="Heading 1 Char"/>
    <w:basedOn w:val="DefaultParagraphFont"/>
    <w:link w:val="Heading1"/>
    <w:rsid w:val="00912C1C"/>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912C1C"/>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912C1C"/>
    <w:rPr>
      <w:rFonts w:ascii="Arial Bold" w:eastAsia="Times New Roman" w:hAnsi="Arial Bold" w:cs="Times New Roman"/>
      <w:b/>
      <w:szCs w:val="20"/>
      <w:lang w:eastAsia="en-AU"/>
    </w:rPr>
  </w:style>
  <w:style w:type="paragraph" w:customStyle="1" w:styleId="Heading3noTOC">
    <w:name w:val="Heading 3 no TOC"/>
    <w:basedOn w:val="Heading3"/>
    <w:rsid w:val="00912C1C"/>
    <w:pPr>
      <w:outlineLvl w:val="9"/>
    </w:pPr>
  </w:style>
  <w:style w:type="character" w:customStyle="1" w:styleId="Heading4Char">
    <w:name w:val="Heading 4 Char"/>
    <w:basedOn w:val="DefaultParagraphFont"/>
    <w:link w:val="Heading4"/>
    <w:rsid w:val="00912C1C"/>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912C1C"/>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912C1C"/>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912C1C"/>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912C1C"/>
    <w:rPr>
      <w:color w:val="auto"/>
      <w:u w:val="single"/>
    </w:rPr>
  </w:style>
  <w:style w:type="paragraph" w:styleId="Index4">
    <w:name w:val="index 4"/>
    <w:basedOn w:val="Normal"/>
    <w:next w:val="Normal"/>
    <w:autoRedefine/>
    <w:semiHidden/>
    <w:rsid w:val="00912C1C"/>
    <w:pPr>
      <w:ind w:left="800" w:hanging="200"/>
    </w:pPr>
  </w:style>
  <w:style w:type="paragraph" w:styleId="Index5">
    <w:name w:val="index 5"/>
    <w:basedOn w:val="Normal"/>
    <w:next w:val="Normal"/>
    <w:autoRedefine/>
    <w:semiHidden/>
    <w:rsid w:val="00912C1C"/>
    <w:pPr>
      <w:ind w:left="1000" w:hanging="200"/>
    </w:pPr>
  </w:style>
  <w:style w:type="paragraph" w:styleId="Index6">
    <w:name w:val="index 6"/>
    <w:basedOn w:val="Normal"/>
    <w:next w:val="Normal"/>
    <w:autoRedefine/>
    <w:semiHidden/>
    <w:rsid w:val="00912C1C"/>
    <w:pPr>
      <w:ind w:left="1200" w:hanging="200"/>
    </w:pPr>
  </w:style>
  <w:style w:type="paragraph" w:styleId="Index7">
    <w:name w:val="index 7"/>
    <w:basedOn w:val="Normal"/>
    <w:next w:val="Normal"/>
    <w:autoRedefine/>
    <w:semiHidden/>
    <w:rsid w:val="00912C1C"/>
    <w:pPr>
      <w:ind w:left="1400" w:hanging="200"/>
    </w:pPr>
  </w:style>
  <w:style w:type="paragraph" w:styleId="Index8">
    <w:name w:val="index 8"/>
    <w:basedOn w:val="Normal"/>
    <w:next w:val="Normal"/>
    <w:autoRedefine/>
    <w:semiHidden/>
    <w:rsid w:val="00912C1C"/>
    <w:pPr>
      <w:ind w:left="1600" w:hanging="200"/>
    </w:pPr>
  </w:style>
  <w:style w:type="paragraph" w:styleId="Index9">
    <w:name w:val="index 9"/>
    <w:basedOn w:val="Normal"/>
    <w:next w:val="Normal"/>
    <w:autoRedefine/>
    <w:semiHidden/>
    <w:rsid w:val="00912C1C"/>
    <w:pPr>
      <w:ind w:left="1800" w:hanging="200"/>
    </w:pPr>
  </w:style>
  <w:style w:type="paragraph" w:styleId="MacroText">
    <w:name w:val="macro"/>
    <w:link w:val="MacroTextChar"/>
    <w:unhideWhenUsed/>
    <w:rsid w:val="00912C1C"/>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912C1C"/>
    <w:rPr>
      <w:rFonts w:ascii="Courier New" w:eastAsia="Times New Roman" w:hAnsi="Courier New" w:cs="Courier New"/>
      <w:sz w:val="20"/>
      <w:szCs w:val="20"/>
      <w:lang w:eastAsia="en-AU"/>
    </w:rPr>
  </w:style>
  <w:style w:type="paragraph" w:styleId="NormalIndent">
    <w:name w:val="Normal Indent"/>
    <w:basedOn w:val="Normal"/>
    <w:rsid w:val="00912C1C"/>
    <w:pPr>
      <w:ind w:left="567"/>
    </w:pPr>
  </w:style>
  <w:style w:type="paragraph" w:customStyle="1" w:styleId="NoteTableHeading">
    <w:name w:val="Note Table Heading"/>
    <w:basedOn w:val="HeadingBase"/>
    <w:next w:val="Normal"/>
    <w:rsid w:val="00912C1C"/>
    <w:pPr>
      <w:spacing w:before="240"/>
    </w:pPr>
    <w:rPr>
      <w:b/>
      <w:sz w:val="20"/>
    </w:rPr>
  </w:style>
  <w:style w:type="paragraph" w:customStyle="1" w:styleId="OverviewParagraph">
    <w:name w:val="Overview Paragraph"/>
    <w:basedOn w:val="Normal"/>
    <w:rsid w:val="00912C1C"/>
    <w:pPr>
      <w:spacing w:before="120" w:after="120" w:line="240" w:lineRule="auto"/>
    </w:pPr>
  </w:style>
  <w:style w:type="character" w:styleId="PageNumber">
    <w:name w:val="page number"/>
    <w:basedOn w:val="DefaultParagraphFont"/>
    <w:rsid w:val="00912C1C"/>
    <w:rPr>
      <w:rFonts w:ascii="Arial" w:hAnsi="Arial" w:cs="Arial"/>
    </w:rPr>
  </w:style>
  <w:style w:type="paragraph" w:customStyle="1" w:styleId="SingleParagraph">
    <w:name w:val="Single Paragraph"/>
    <w:basedOn w:val="Normal"/>
    <w:rsid w:val="00912C1C"/>
    <w:pPr>
      <w:spacing w:before="0" w:after="0"/>
    </w:pPr>
  </w:style>
  <w:style w:type="paragraph" w:customStyle="1" w:styleId="Source">
    <w:name w:val="Source"/>
    <w:basedOn w:val="Normal"/>
    <w:rsid w:val="00912C1C"/>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912C1C"/>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912C1C"/>
    <w:pPr>
      <w:jc w:val="center"/>
    </w:pPr>
  </w:style>
  <w:style w:type="paragraph" w:customStyle="1" w:styleId="TableColumnHeadingLeft">
    <w:name w:val="Table Column Heading Left"/>
    <w:basedOn w:val="TableColumnHeadingBase"/>
    <w:next w:val="Normal"/>
    <w:rsid w:val="00912C1C"/>
  </w:style>
  <w:style w:type="paragraph" w:customStyle="1" w:styleId="TableColumnHeadingRight">
    <w:name w:val="Table Column Heading Right"/>
    <w:basedOn w:val="TableColumnHeadingBase"/>
    <w:next w:val="Normal"/>
    <w:rsid w:val="00912C1C"/>
    <w:pPr>
      <w:jc w:val="right"/>
    </w:pPr>
  </w:style>
  <w:style w:type="paragraph" w:customStyle="1" w:styleId="TableGraphic">
    <w:name w:val="Table Graphic"/>
    <w:basedOn w:val="Normal"/>
    <w:next w:val="Normal"/>
    <w:rsid w:val="00912C1C"/>
    <w:pPr>
      <w:spacing w:after="0" w:line="240" w:lineRule="auto"/>
      <w:ind w:right="-113"/>
    </w:pPr>
  </w:style>
  <w:style w:type="table" w:styleId="TableGrid">
    <w:name w:val="Table Grid"/>
    <w:basedOn w:val="TableNormal"/>
    <w:rsid w:val="00912C1C"/>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912C1C"/>
    <w:pPr>
      <w:spacing w:before="120" w:after="20"/>
    </w:pPr>
    <w:rPr>
      <w:b/>
      <w:sz w:val="20"/>
    </w:rPr>
  </w:style>
  <w:style w:type="paragraph" w:customStyle="1" w:styleId="TableHeadingcontinued">
    <w:name w:val="Table Heading continued"/>
    <w:basedOn w:val="HeadingBase"/>
    <w:next w:val="TableGraphic"/>
    <w:rsid w:val="00912C1C"/>
    <w:pPr>
      <w:spacing w:before="120" w:after="20"/>
    </w:pPr>
    <w:rPr>
      <w:rFonts w:ascii="Arial Bold" w:hAnsi="Arial Bold"/>
      <w:b/>
      <w:sz w:val="20"/>
    </w:rPr>
  </w:style>
  <w:style w:type="paragraph" w:styleId="TableofFigures">
    <w:name w:val="table of figures"/>
    <w:basedOn w:val="Normal"/>
    <w:next w:val="Normal"/>
    <w:rsid w:val="00912C1C"/>
  </w:style>
  <w:style w:type="paragraph" w:customStyle="1" w:styleId="TableTextBase">
    <w:name w:val="Table Text Base"/>
    <w:basedOn w:val="Normal"/>
    <w:rsid w:val="00912C1C"/>
    <w:pPr>
      <w:spacing w:before="20" w:after="20" w:line="240" w:lineRule="auto"/>
    </w:pPr>
    <w:rPr>
      <w:rFonts w:ascii="Arial" w:hAnsi="Arial"/>
      <w:sz w:val="16"/>
    </w:rPr>
  </w:style>
  <w:style w:type="paragraph" w:customStyle="1" w:styleId="TableTextCentred">
    <w:name w:val="Table Text Centred"/>
    <w:basedOn w:val="TableTextBase"/>
    <w:rsid w:val="00912C1C"/>
    <w:pPr>
      <w:jc w:val="center"/>
    </w:pPr>
  </w:style>
  <w:style w:type="paragraph" w:customStyle="1" w:styleId="TableTextIndented">
    <w:name w:val="Table Text Indented"/>
    <w:basedOn w:val="TableTextBase"/>
    <w:rsid w:val="00912C1C"/>
    <w:pPr>
      <w:ind w:left="284"/>
    </w:pPr>
  </w:style>
  <w:style w:type="paragraph" w:customStyle="1" w:styleId="TableTextLeft">
    <w:name w:val="Table Text Left"/>
    <w:basedOn w:val="TableTextBase"/>
    <w:rsid w:val="00912C1C"/>
  </w:style>
  <w:style w:type="paragraph" w:customStyle="1" w:styleId="TableTextRight">
    <w:name w:val="Table Text Right"/>
    <w:basedOn w:val="TableTextBase"/>
    <w:rsid w:val="00912C1C"/>
    <w:pPr>
      <w:jc w:val="right"/>
    </w:pPr>
  </w:style>
  <w:style w:type="paragraph" w:styleId="TOAHeading">
    <w:name w:val="toa heading"/>
    <w:basedOn w:val="Normal"/>
    <w:next w:val="Normal"/>
    <w:rsid w:val="00912C1C"/>
    <w:pPr>
      <w:spacing w:before="120"/>
    </w:pPr>
    <w:rPr>
      <w:rFonts w:ascii="Arial" w:hAnsi="Arial" w:cs="Arial"/>
      <w:b/>
      <w:bCs/>
      <w:sz w:val="24"/>
      <w:szCs w:val="24"/>
    </w:rPr>
  </w:style>
  <w:style w:type="paragraph" w:styleId="TOC1">
    <w:name w:val="toc 1"/>
    <w:basedOn w:val="HeaderBase"/>
    <w:next w:val="Normal"/>
    <w:uiPriority w:val="39"/>
    <w:rsid w:val="00912C1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912C1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912C1C"/>
    <w:pPr>
      <w:tabs>
        <w:tab w:val="right" w:leader="dot" w:pos="7700"/>
      </w:tabs>
      <w:spacing w:before="40"/>
      <w:ind w:right="851"/>
    </w:pPr>
    <w:rPr>
      <w:sz w:val="20"/>
    </w:rPr>
  </w:style>
  <w:style w:type="paragraph" w:styleId="TOC4">
    <w:name w:val="toc 4"/>
    <w:basedOn w:val="HeadingBase"/>
    <w:next w:val="Normal"/>
    <w:uiPriority w:val="2"/>
    <w:unhideWhenUsed/>
    <w:rsid w:val="00912C1C"/>
    <w:pPr>
      <w:tabs>
        <w:tab w:val="right" w:leader="dot" w:pos="7700"/>
      </w:tabs>
      <w:spacing w:before="40"/>
      <w:ind w:right="851"/>
    </w:pPr>
    <w:rPr>
      <w:sz w:val="20"/>
    </w:rPr>
  </w:style>
  <w:style w:type="paragraph" w:customStyle="1" w:styleId="TPHeading1">
    <w:name w:val="TP Heading 1"/>
    <w:basedOn w:val="HeadingBase"/>
    <w:semiHidden/>
    <w:rsid w:val="00912C1C"/>
    <w:pPr>
      <w:spacing w:before="60" w:after="60"/>
      <w:ind w:left="1134"/>
    </w:pPr>
    <w:rPr>
      <w:rFonts w:ascii="Arial Bold" w:hAnsi="Arial Bold"/>
      <w:b/>
      <w:caps/>
      <w:spacing w:val="-10"/>
      <w:sz w:val="28"/>
    </w:rPr>
  </w:style>
  <w:style w:type="paragraph" w:customStyle="1" w:styleId="TPHeading2">
    <w:name w:val="TP Heading 2"/>
    <w:basedOn w:val="HeadingBase"/>
    <w:semiHidden/>
    <w:rsid w:val="00912C1C"/>
    <w:pPr>
      <w:ind w:left="1134"/>
    </w:pPr>
    <w:rPr>
      <w:caps/>
      <w:spacing w:val="-10"/>
      <w:sz w:val="28"/>
    </w:rPr>
  </w:style>
  <w:style w:type="paragraph" w:customStyle="1" w:styleId="TPHeading3">
    <w:name w:val="TP Heading 3"/>
    <w:basedOn w:val="HeadingBase"/>
    <w:semiHidden/>
    <w:rsid w:val="00912C1C"/>
    <w:pPr>
      <w:ind w:left="1134"/>
    </w:pPr>
    <w:rPr>
      <w:caps/>
      <w:spacing w:val="-10"/>
    </w:rPr>
  </w:style>
  <w:style w:type="paragraph" w:customStyle="1" w:styleId="TPHeading3bold">
    <w:name w:val="TP Heading 3 bold"/>
    <w:basedOn w:val="TPHeading3"/>
    <w:semiHidden/>
    <w:rsid w:val="00912C1C"/>
    <w:rPr>
      <w:rFonts w:cs="Arial"/>
      <w:b/>
      <w:sz w:val="22"/>
      <w:szCs w:val="22"/>
    </w:rPr>
  </w:style>
  <w:style w:type="paragraph" w:customStyle="1" w:styleId="TPHEADING3boldspace">
    <w:name w:val="TP HEADING 3 bold space"/>
    <w:basedOn w:val="TPHeading3bold"/>
    <w:semiHidden/>
    <w:rsid w:val="00912C1C"/>
    <w:pPr>
      <w:spacing w:after="120"/>
    </w:pPr>
  </w:style>
  <w:style w:type="paragraph" w:customStyle="1" w:styleId="TPHEADING3space">
    <w:name w:val="TP HEADING 3 space"/>
    <w:basedOn w:val="TPHeading3"/>
    <w:semiHidden/>
    <w:rsid w:val="00912C1C"/>
    <w:pPr>
      <w:spacing w:before="120" w:after="120"/>
    </w:pPr>
    <w:rPr>
      <w:rFonts w:cs="Arial"/>
      <w:sz w:val="22"/>
      <w:szCs w:val="22"/>
    </w:rPr>
  </w:style>
  <w:style w:type="paragraph" w:customStyle="1" w:styleId="TPHeading4">
    <w:name w:val="TP Heading 4"/>
    <w:basedOn w:val="TPHeading3"/>
    <w:semiHidden/>
    <w:rsid w:val="00912C1C"/>
    <w:rPr>
      <w:sz w:val="20"/>
    </w:rPr>
  </w:style>
  <w:style w:type="paragraph" w:customStyle="1" w:styleId="TPHEADING4space">
    <w:name w:val="TP HEADING 4 space"/>
    <w:basedOn w:val="TPHEADING3space"/>
    <w:semiHidden/>
    <w:rsid w:val="00912C1C"/>
  </w:style>
  <w:style w:type="paragraph" w:customStyle="1" w:styleId="ChartLine">
    <w:name w:val="Chart Line"/>
    <w:basedOn w:val="Normal"/>
    <w:autoRedefine/>
    <w:qFormat/>
    <w:rsid w:val="0083131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912C1C"/>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912C1C"/>
    <w:rPr>
      <w:sz w:val="16"/>
    </w:rPr>
  </w:style>
  <w:style w:type="paragraph" w:customStyle="1" w:styleId="Box-continuedon">
    <w:name w:val="Box - continued on"/>
    <w:basedOn w:val="Normal"/>
    <w:qFormat/>
    <w:rsid w:val="00912C1C"/>
    <w:pPr>
      <w:jc w:val="right"/>
    </w:pPr>
    <w:rPr>
      <w:rFonts w:asciiTheme="majorHAnsi" w:hAnsiTheme="majorHAnsi" w:cstheme="majorHAnsi"/>
      <w:i/>
      <w:iCs/>
      <w:sz w:val="18"/>
      <w:szCs w:val="24"/>
    </w:rPr>
  </w:style>
  <w:style w:type="paragraph" w:customStyle="1" w:styleId="BoxHeading2">
    <w:name w:val="Box Heading 2"/>
    <w:basedOn w:val="BoxHeading"/>
    <w:autoRedefine/>
    <w:rsid w:val="00912C1C"/>
    <w:pPr>
      <w:spacing w:after="0"/>
    </w:pPr>
    <w:rPr>
      <w:b w:val="0"/>
      <w:bCs/>
      <w:szCs w:val="14"/>
    </w:rPr>
  </w:style>
  <w:style w:type="character" w:customStyle="1" w:styleId="Heading9Char">
    <w:name w:val="Heading 9 Char"/>
    <w:basedOn w:val="DefaultParagraphFont"/>
    <w:link w:val="Heading9"/>
    <w:uiPriority w:val="9"/>
    <w:rsid w:val="00912C1C"/>
    <w:rPr>
      <w:rFonts w:ascii="Cambria" w:eastAsia="Times New Roman" w:hAnsi="Cambria" w:cs="Times New Roman"/>
      <w:lang w:eastAsia="en-AU"/>
    </w:rPr>
  </w:style>
  <w:style w:type="paragraph" w:customStyle="1" w:styleId="GhostLine">
    <w:name w:val="Ghost Line"/>
    <w:basedOn w:val="NoSpacing"/>
    <w:qFormat/>
    <w:rsid w:val="00912C1C"/>
    <w:pPr>
      <w:jc w:val="both"/>
    </w:pPr>
    <w:rPr>
      <w:rFonts w:ascii="Book Antiqua" w:hAnsi="Book Antiqua"/>
      <w:sz w:val="2"/>
    </w:rPr>
  </w:style>
  <w:style w:type="paragraph" w:styleId="NoSpacing">
    <w:name w:val="No Spacing"/>
    <w:uiPriority w:val="1"/>
    <w:qFormat/>
    <w:rsid w:val="00912C1C"/>
    <w:pPr>
      <w:spacing w:after="0" w:line="240" w:lineRule="auto"/>
    </w:pPr>
    <w:rPr>
      <w:rFonts w:eastAsia="Times New Roman" w:cs="Times New Roman"/>
      <w:sz w:val="19"/>
      <w:szCs w:val="20"/>
      <w:lang w:eastAsia="en-AU"/>
    </w:rPr>
  </w:style>
  <w:style w:type="paragraph" w:customStyle="1" w:styleId="ChartHeading">
    <w:name w:val="Chart Heading"/>
    <w:basedOn w:val="HeadingBase"/>
    <w:next w:val="ChartGraphic"/>
    <w:qFormat/>
    <w:rsid w:val="009D70F5"/>
    <w:pPr>
      <w:spacing w:before="120" w:after="20"/>
    </w:pPr>
    <w:rPr>
      <w:b/>
      <w:sz w:val="20"/>
    </w:rPr>
  </w:style>
  <w:style w:type="character" w:styleId="EndnoteReference">
    <w:name w:val="endnote reference"/>
    <w:basedOn w:val="DefaultParagraphFont"/>
    <w:unhideWhenUsed/>
    <w:rsid w:val="009D70F5"/>
    <w:rPr>
      <w:vertAlign w:val="superscript"/>
    </w:rPr>
  </w:style>
  <w:style w:type="paragraph" w:styleId="EndnoteText">
    <w:name w:val="endnote text"/>
    <w:basedOn w:val="Normal"/>
    <w:link w:val="EndnoteTextChar"/>
    <w:uiPriority w:val="99"/>
    <w:unhideWhenUsed/>
    <w:rsid w:val="009D70F5"/>
  </w:style>
  <w:style w:type="character" w:customStyle="1" w:styleId="EndnoteTextChar">
    <w:name w:val="Endnote Text Char"/>
    <w:basedOn w:val="DefaultParagraphFont"/>
    <w:link w:val="EndnoteText"/>
    <w:uiPriority w:val="99"/>
    <w:rsid w:val="009D70F5"/>
    <w:rPr>
      <w:rFonts w:ascii="Book Antiqua" w:eastAsia="Times New Roman" w:hAnsi="Book Antiqua" w:cs="Times New Roman"/>
      <w:sz w:val="19"/>
      <w:szCs w:val="20"/>
      <w:lang w:eastAsia="en-AU"/>
    </w:rPr>
  </w:style>
  <w:style w:type="paragraph" w:styleId="IndexHeading">
    <w:name w:val="index heading"/>
    <w:basedOn w:val="Normal"/>
    <w:next w:val="Normal"/>
    <w:uiPriority w:val="99"/>
    <w:rsid w:val="009D70F5"/>
    <w:rPr>
      <w:rFonts w:ascii="Arial Bold" w:hAnsi="Arial Bold" w:cs="Arial"/>
      <w:b/>
      <w:bCs/>
      <w:color w:val="002B54"/>
    </w:rPr>
  </w:style>
  <w:style w:type="paragraph" w:styleId="TableofAuthorities">
    <w:name w:val="table of authorities"/>
    <w:basedOn w:val="Normal"/>
    <w:next w:val="Normal"/>
    <w:uiPriority w:val="99"/>
    <w:rsid w:val="009D70F5"/>
    <w:pPr>
      <w:ind w:left="200" w:hanging="200"/>
    </w:pPr>
  </w:style>
  <w:style w:type="paragraph" w:customStyle="1" w:styleId="StatementWhite-Bullet">
    <w:name w:val="Statement White - Bullet"/>
    <w:basedOn w:val="Bullet"/>
    <w:qFormat/>
    <w:rsid w:val="009D70F5"/>
    <w:pPr>
      <w:numPr>
        <w:numId w:val="0"/>
      </w:numPr>
      <w:tabs>
        <w:tab w:val="num" w:pos="283"/>
      </w:tabs>
      <w:ind w:left="284" w:hanging="284"/>
    </w:pPr>
    <w:rPr>
      <w:color w:val="FFFFFF" w:themeColor="background1"/>
    </w:rPr>
  </w:style>
  <w:style w:type="paragraph" w:customStyle="1" w:styleId="AppendixHeading">
    <w:name w:val="Appendix Heading"/>
    <w:basedOn w:val="HeadingBase"/>
    <w:uiPriority w:val="99"/>
    <w:rsid w:val="009D70F5"/>
    <w:pPr>
      <w:spacing w:after="240"/>
      <w:jc w:val="center"/>
      <w:outlineLvl w:val="3"/>
    </w:pPr>
    <w:rPr>
      <w:b/>
      <w:smallCaps/>
      <w:sz w:val="30"/>
    </w:rPr>
  </w:style>
  <w:style w:type="paragraph" w:customStyle="1" w:styleId="ContentsnoToC">
    <w:name w:val="Contents no ToC"/>
    <w:basedOn w:val="ContentsHeading"/>
    <w:uiPriority w:val="99"/>
    <w:rsid w:val="009D70F5"/>
    <w:pPr>
      <w:jc w:val="center"/>
    </w:pPr>
    <w:rPr>
      <w:kern w:val="0"/>
    </w:rPr>
  </w:style>
  <w:style w:type="paragraph" w:customStyle="1" w:styleId="SourceBox">
    <w:name w:val="Source Box"/>
    <w:basedOn w:val="Source"/>
    <w:uiPriority w:val="99"/>
    <w:rsid w:val="009D70F5"/>
    <w:pPr>
      <w:spacing w:before="0" w:after="120"/>
      <w:jc w:val="both"/>
    </w:pPr>
  </w:style>
  <w:style w:type="paragraph" w:customStyle="1" w:styleId="Boxcontinuedover">
    <w:name w:val="Box continued over"/>
    <w:basedOn w:val="BoxText"/>
    <w:uiPriority w:val="99"/>
    <w:qFormat/>
    <w:rsid w:val="009D70F5"/>
    <w:pPr>
      <w:spacing w:before="240" w:after="0"/>
      <w:jc w:val="right"/>
    </w:pPr>
    <w:rPr>
      <w:rFonts w:ascii="Arial" w:hAnsi="Arial"/>
      <w:b/>
      <w:bCs/>
      <w:sz w:val="18"/>
      <w:szCs w:val="16"/>
    </w:rPr>
  </w:style>
  <w:style w:type="paragraph" w:styleId="BodyText">
    <w:name w:val="Body Text"/>
    <w:basedOn w:val="Normal"/>
    <w:link w:val="BodyTextChar"/>
    <w:uiPriority w:val="1"/>
    <w:qFormat/>
    <w:rsid w:val="009D70F5"/>
    <w:pPr>
      <w:widowControl w:val="0"/>
      <w:autoSpaceDE w:val="0"/>
      <w:autoSpaceDN w:val="0"/>
      <w:spacing w:before="0" w:after="0" w:line="240" w:lineRule="auto"/>
      <w:jc w:val="both"/>
    </w:pPr>
    <w:rPr>
      <w:rFonts w:eastAsia="Book Antiqua" w:cs="Book Antiqua"/>
      <w:sz w:val="20"/>
      <w:lang w:val="en-US"/>
    </w:rPr>
  </w:style>
  <w:style w:type="character" w:customStyle="1" w:styleId="BodyTextChar">
    <w:name w:val="Body Text Char"/>
    <w:basedOn w:val="DefaultParagraphFont"/>
    <w:link w:val="BodyText"/>
    <w:uiPriority w:val="1"/>
    <w:rsid w:val="009D70F5"/>
    <w:rPr>
      <w:rFonts w:ascii="Book Antiqua" w:eastAsia="Book Antiqua" w:hAnsi="Book Antiqua" w:cs="Book Antiqua"/>
      <w:sz w:val="20"/>
      <w:szCs w:val="20"/>
      <w:lang w:val="en-US" w:eastAsia="en-AU"/>
    </w:rPr>
  </w:style>
  <w:style w:type="paragraph" w:customStyle="1" w:styleId="TableParagraph">
    <w:name w:val="Table Paragraph"/>
    <w:basedOn w:val="Normal"/>
    <w:uiPriority w:val="1"/>
    <w:qFormat/>
    <w:rsid w:val="009D70F5"/>
    <w:pPr>
      <w:widowControl w:val="0"/>
      <w:autoSpaceDE w:val="0"/>
      <w:autoSpaceDN w:val="0"/>
      <w:spacing w:before="18" w:after="0" w:line="240" w:lineRule="auto"/>
      <w:jc w:val="both"/>
    </w:pPr>
    <w:rPr>
      <w:rFonts w:ascii="Arial" w:eastAsia="Arial" w:hAnsi="Arial" w:cs="Arial"/>
      <w:sz w:val="20"/>
      <w:lang w:val="en-US"/>
    </w:rPr>
  </w:style>
  <w:style w:type="paragraph" w:styleId="ListParagraph">
    <w:name w:val="List Paragraph"/>
    <w:basedOn w:val="Normal"/>
    <w:uiPriority w:val="34"/>
    <w:qFormat/>
    <w:rsid w:val="009D70F5"/>
    <w:pPr>
      <w:widowControl w:val="0"/>
      <w:autoSpaceDE w:val="0"/>
      <w:autoSpaceDN w:val="0"/>
      <w:spacing w:before="0" w:after="0" w:line="240" w:lineRule="auto"/>
      <w:ind w:left="701" w:hanging="284"/>
      <w:jc w:val="both"/>
    </w:pPr>
    <w:rPr>
      <w:rFonts w:ascii="Arial" w:eastAsia="Arial" w:hAnsi="Arial" w:cs="Arial"/>
      <w:sz w:val="20"/>
      <w:lang w:val="en-US"/>
    </w:rPr>
  </w:style>
  <w:style w:type="paragraph" w:customStyle="1" w:styleId="Default">
    <w:name w:val="Default"/>
    <w:uiPriority w:val="99"/>
    <w:rsid w:val="009D70F5"/>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9D70F5"/>
    <w:pPr>
      <w:jc w:val="center"/>
      <w:outlineLvl w:val="9"/>
    </w:pPr>
    <w:rPr>
      <w:lang w:val="en-US"/>
    </w:rPr>
  </w:style>
  <w:style w:type="paragraph" w:customStyle="1" w:styleId="PortfolioHeading">
    <w:name w:val="Portfolio Heading"/>
    <w:basedOn w:val="Normal"/>
    <w:link w:val="PortfolioHeadingChar"/>
    <w:qFormat/>
    <w:rsid w:val="009D70F5"/>
    <w:pPr>
      <w:widowControl w:val="0"/>
      <w:autoSpaceDE w:val="0"/>
      <w:autoSpaceDN w:val="0"/>
      <w:spacing w:after="0" w:line="240" w:lineRule="auto"/>
      <w:ind w:left="418"/>
      <w:jc w:val="both"/>
      <w:outlineLvl w:val="0"/>
    </w:pPr>
    <w:rPr>
      <w:rFonts w:ascii="Arial" w:eastAsia="Arial" w:hAnsi="Arial" w:cs="Arial"/>
      <w:b/>
      <w:bCs/>
      <w:sz w:val="26"/>
      <w:szCs w:val="26"/>
      <w:lang w:val="en-US"/>
    </w:rPr>
  </w:style>
  <w:style w:type="character" w:customStyle="1" w:styleId="PortfolioHeadingChar">
    <w:name w:val="Portfolio Heading Char"/>
    <w:basedOn w:val="DefaultParagraphFont"/>
    <w:link w:val="PortfolioHeading"/>
    <w:rsid w:val="009D70F5"/>
    <w:rPr>
      <w:rFonts w:ascii="Arial" w:eastAsia="Arial" w:hAnsi="Arial" w:cs="Arial"/>
      <w:b/>
      <w:bCs/>
      <w:sz w:val="26"/>
      <w:szCs w:val="26"/>
      <w:lang w:val="en-US" w:eastAsia="en-AU"/>
    </w:rPr>
  </w:style>
  <w:style w:type="paragraph" w:customStyle="1" w:styleId="TableTextLeft-Indent">
    <w:name w:val="Table Text Left - Indent"/>
    <w:basedOn w:val="TableTextLeft"/>
    <w:rsid w:val="009D70F5"/>
    <w:pPr>
      <w:ind w:left="317" w:hanging="142"/>
    </w:pPr>
    <w:rPr>
      <w:rFonts w:eastAsia="Calibri"/>
    </w:rPr>
  </w:style>
  <w:style w:type="paragraph" w:styleId="NormalWeb">
    <w:name w:val="Normal (Web)"/>
    <w:basedOn w:val="Normal"/>
    <w:uiPriority w:val="99"/>
    <w:semiHidden/>
    <w:unhideWhenUsed/>
    <w:rsid w:val="009D70F5"/>
    <w:pPr>
      <w:spacing w:before="0" w:line="260" w:lineRule="exact"/>
      <w:jc w:val="both"/>
    </w:pPr>
    <w:rPr>
      <w:rFonts w:ascii="Times New Roman" w:hAnsi="Times New Roman"/>
      <w:sz w:val="24"/>
      <w:szCs w:val="24"/>
    </w:rPr>
  </w:style>
  <w:style w:type="character" w:styleId="PlaceholderText">
    <w:name w:val="Placeholder Text"/>
    <w:basedOn w:val="DefaultParagraphFont"/>
    <w:uiPriority w:val="99"/>
    <w:semiHidden/>
    <w:rsid w:val="009D70F5"/>
    <w:rPr>
      <w:color w:val="808080"/>
    </w:rPr>
  </w:style>
  <w:style w:type="paragraph" w:styleId="Revision">
    <w:name w:val="Revision"/>
    <w:hidden/>
    <w:uiPriority w:val="99"/>
    <w:semiHidden/>
    <w:rsid w:val="009D70F5"/>
    <w:pPr>
      <w:spacing w:after="0" w:line="240" w:lineRule="auto"/>
    </w:pPr>
    <w:rPr>
      <w:rFonts w:ascii="Book Antiqua" w:eastAsia="Times New Roman" w:hAnsi="Book Antiqua" w:cs="Times New Roman"/>
      <w:sz w:val="20"/>
      <w:szCs w:val="20"/>
      <w:lang w:eastAsia="en-AU"/>
    </w:rPr>
  </w:style>
  <w:style w:type="character" w:styleId="FollowedHyperlink">
    <w:name w:val="FollowedHyperlink"/>
    <w:basedOn w:val="DefaultParagraphFont"/>
    <w:uiPriority w:val="99"/>
    <w:semiHidden/>
    <w:unhideWhenUsed/>
    <w:rsid w:val="009D70F5"/>
    <w:rPr>
      <w:color w:val="E61E26" w:themeColor="followedHyperlink"/>
      <w:u w:val="single"/>
    </w:rPr>
  </w:style>
  <w:style w:type="paragraph" w:customStyle="1" w:styleId="msonormal0">
    <w:name w:val="msonormal"/>
    <w:basedOn w:val="Normal"/>
    <w:uiPriority w:val="99"/>
    <w:semiHidden/>
    <w:rsid w:val="009D70F5"/>
    <w:pPr>
      <w:spacing w:before="0" w:line="260" w:lineRule="exact"/>
      <w:jc w:val="both"/>
    </w:pPr>
    <w:rPr>
      <w:rFonts w:ascii="Times New Roman" w:hAnsi="Times New Roman"/>
      <w:sz w:val="24"/>
      <w:szCs w:val="24"/>
    </w:rPr>
  </w:style>
  <w:style w:type="character" w:customStyle="1" w:styleId="MaintextCharChar">
    <w:name w:val="Main text Char Char"/>
    <w:link w:val="Maintext"/>
    <w:semiHidden/>
    <w:locked/>
    <w:rsid w:val="009D70F5"/>
    <w:rPr>
      <w:rFonts w:ascii="Arial" w:eastAsia="Times New Roman" w:hAnsi="Arial" w:cs="Arial"/>
      <w:szCs w:val="24"/>
    </w:rPr>
  </w:style>
  <w:style w:type="paragraph" w:customStyle="1" w:styleId="Maintext">
    <w:name w:val="Main text"/>
    <w:basedOn w:val="Normal"/>
    <w:link w:val="MaintextCharChar"/>
    <w:semiHidden/>
    <w:rsid w:val="009D70F5"/>
    <w:pPr>
      <w:spacing w:before="0" w:after="0" w:line="240" w:lineRule="auto"/>
    </w:pPr>
    <w:rPr>
      <w:rFonts w:ascii="Arial" w:hAnsi="Arial" w:cs="Arial"/>
      <w:sz w:val="22"/>
      <w:szCs w:val="24"/>
      <w:lang w:eastAsia="en-US"/>
    </w:rPr>
  </w:style>
  <w:style w:type="table" w:customStyle="1" w:styleId="TableGrid5">
    <w:name w:val="Table Grid5"/>
    <w:basedOn w:val="TableNormal"/>
    <w:next w:val="TableGrid"/>
    <w:uiPriority w:val="39"/>
    <w:rsid w:val="009D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70F5"/>
    <w:rPr>
      <w:color w:val="605E5C"/>
      <w:shd w:val="clear" w:color="auto" w:fill="E1DFDD"/>
    </w:rPr>
  </w:style>
  <w:style w:type="character" w:styleId="CommentReference">
    <w:name w:val="annotation reference"/>
    <w:basedOn w:val="DefaultParagraphFont"/>
    <w:rsid w:val="00912C1C"/>
    <w:rPr>
      <w:sz w:val="16"/>
      <w:szCs w:val="16"/>
    </w:rPr>
  </w:style>
  <w:style w:type="paragraph" w:styleId="CommentText">
    <w:name w:val="annotation text"/>
    <w:basedOn w:val="Normal"/>
    <w:link w:val="CommentTextChar"/>
    <w:rsid w:val="00912C1C"/>
  </w:style>
  <w:style w:type="character" w:customStyle="1" w:styleId="CommentTextChar">
    <w:name w:val="Comment Text Char"/>
    <w:basedOn w:val="DefaultParagraphFont"/>
    <w:link w:val="CommentText"/>
    <w:rsid w:val="00912C1C"/>
    <w:rPr>
      <w:rFonts w:ascii="Book Antiqua" w:eastAsia="Times New Roman" w:hAnsi="Book Antiqua" w:cs="Times New Roman"/>
      <w:sz w:val="19"/>
      <w:szCs w:val="20"/>
      <w:lang w:eastAsia="en-AU"/>
    </w:rPr>
  </w:style>
  <w:style w:type="paragraph" w:customStyle="1" w:styleId="NumberedList1">
    <w:name w:val="Numbered List 1"/>
    <w:basedOn w:val="Normal"/>
    <w:qFormat/>
    <w:rsid w:val="00A67E34"/>
    <w:pPr>
      <w:numPr>
        <w:numId w:val="26"/>
      </w:numPr>
      <w:suppressAutoHyphens/>
      <w:spacing w:before="180" w:after="60" w:line="280" w:lineRule="atLeast"/>
    </w:pPr>
    <w:rPr>
      <w:rFonts w:asciiTheme="minorHAnsi" w:eastAsiaTheme="minorHAnsi" w:hAnsiTheme="minorHAnsi" w:cstheme="minorBidi"/>
      <w:sz w:val="22"/>
      <w:szCs w:val="22"/>
      <w:lang w:eastAsia="en-US"/>
    </w:rPr>
  </w:style>
  <w:style w:type="paragraph" w:customStyle="1" w:styleId="NumberedList2">
    <w:name w:val="Numbered List 2"/>
    <w:basedOn w:val="NumberedList1"/>
    <w:qFormat/>
    <w:rsid w:val="00A67E34"/>
    <w:pPr>
      <w:numPr>
        <w:ilvl w:val="1"/>
      </w:numPr>
      <w:spacing w:before="120"/>
    </w:pPr>
  </w:style>
  <w:style w:type="paragraph" w:customStyle="1" w:styleId="NumberedList3">
    <w:name w:val="Numbered List 3"/>
    <w:basedOn w:val="NumberedList2"/>
    <w:qFormat/>
    <w:rsid w:val="00A67E34"/>
    <w:pPr>
      <w:numPr>
        <w:ilvl w:val="2"/>
      </w:numPr>
    </w:pPr>
  </w:style>
  <w:style w:type="numbering" w:customStyle="1" w:styleId="Numberedlist">
    <w:name w:val="Numbered list"/>
    <w:uiPriority w:val="99"/>
    <w:rsid w:val="00A67E34"/>
    <w:pPr>
      <w:numPr>
        <w:numId w:val="26"/>
      </w:numPr>
    </w:pPr>
  </w:style>
  <w:style w:type="character" w:customStyle="1" w:styleId="null">
    <w:name w:val="null"/>
    <w:basedOn w:val="DefaultParagraphFont"/>
    <w:rsid w:val="003F39AD"/>
  </w:style>
  <w:style w:type="character" w:customStyle="1" w:styleId="ui-provider">
    <w:name w:val="ui-provider"/>
    <w:basedOn w:val="DefaultParagraphFont"/>
    <w:rsid w:val="003F39AD"/>
  </w:style>
  <w:style w:type="character" w:customStyle="1" w:styleId="FramedHeader">
    <w:name w:val="Framed Header"/>
    <w:basedOn w:val="DefaultParagraphFont"/>
    <w:rsid w:val="00912C1C"/>
    <w:rPr>
      <w:rFonts w:ascii="Book Antiqua" w:hAnsi="Book Antiqua"/>
      <w:i/>
      <w:dstrike w:val="0"/>
      <w:color w:val="auto"/>
      <w:sz w:val="20"/>
      <w:vertAlign w:val="baseline"/>
    </w:rPr>
  </w:style>
  <w:style w:type="character" w:customStyle="1" w:styleId="HiddenSequenceCode">
    <w:name w:val="Hidden Sequence Code"/>
    <w:basedOn w:val="DefaultParagraphFont"/>
    <w:rsid w:val="00912C1C"/>
    <w:rPr>
      <w:rFonts w:ascii="Times New Roman" w:hAnsi="Times New Roman"/>
      <w:vanish/>
      <w:sz w:val="16"/>
    </w:rPr>
  </w:style>
  <w:style w:type="paragraph" w:styleId="TOC5">
    <w:name w:val="toc 5"/>
    <w:basedOn w:val="Normal"/>
    <w:next w:val="Normal"/>
    <w:autoRedefine/>
    <w:uiPriority w:val="2"/>
    <w:semiHidden/>
    <w:rsid w:val="00912C1C"/>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912C1C"/>
    <w:pPr>
      <w:tabs>
        <w:tab w:val="left" w:pos="851"/>
      </w:tabs>
      <w:ind w:left="851" w:hanging="851"/>
    </w:pPr>
    <w:rPr>
      <w:color w:val="000000"/>
    </w:rPr>
  </w:style>
  <w:style w:type="paragraph" w:styleId="TOC7">
    <w:name w:val="toc 7"/>
    <w:basedOn w:val="Normal"/>
    <w:next w:val="Normal"/>
    <w:autoRedefine/>
    <w:uiPriority w:val="2"/>
    <w:semiHidden/>
    <w:rsid w:val="00912C1C"/>
    <w:pPr>
      <w:ind w:left="1200"/>
    </w:pPr>
  </w:style>
  <w:style w:type="paragraph" w:styleId="TOC8">
    <w:name w:val="toc 8"/>
    <w:basedOn w:val="Normal"/>
    <w:next w:val="Normal"/>
    <w:autoRedefine/>
    <w:uiPriority w:val="2"/>
    <w:semiHidden/>
    <w:rsid w:val="00912C1C"/>
    <w:pPr>
      <w:ind w:left="1400"/>
    </w:pPr>
  </w:style>
  <w:style w:type="paragraph" w:styleId="TOC9">
    <w:name w:val="toc 9"/>
    <w:basedOn w:val="Normal"/>
    <w:next w:val="Normal"/>
    <w:autoRedefine/>
    <w:uiPriority w:val="2"/>
    <w:semiHidden/>
    <w:rsid w:val="00912C1C"/>
    <w:pPr>
      <w:ind w:left="1600"/>
    </w:pPr>
  </w:style>
  <w:style w:type="character" w:customStyle="1" w:styleId="BoxTextChar">
    <w:name w:val="Box Text Char"/>
    <w:basedOn w:val="DefaultParagraphFont"/>
    <w:link w:val="BoxText"/>
    <w:rsid w:val="00912C1C"/>
    <w:rPr>
      <w:rFonts w:ascii="Book Antiqua" w:eastAsia="Times New Roman" w:hAnsi="Book Antiqua" w:cs="Times New Roman"/>
      <w:sz w:val="19"/>
      <w:szCs w:val="20"/>
      <w:lang w:eastAsia="en-AU"/>
    </w:rPr>
  </w:style>
  <w:style w:type="character" w:styleId="Emphasis">
    <w:name w:val="Emphasis"/>
    <w:basedOn w:val="DefaultParagraphFont"/>
    <w:uiPriority w:val="20"/>
    <w:rsid w:val="00710D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2.xm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0.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4fe85f-b655-4145-9b20-543b75dc1c24" xsi:nil="true"/>
    <lcf76f155ced4ddcb4097134ff3c332f xmlns="9115ddca-c623-419f-a3c0-6a1c58c4dac8">
      <Terms xmlns="http://schemas.microsoft.com/office/infopath/2007/PartnerControls"/>
    </lcf76f155ced4ddcb4097134ff3c332f>
    <_Flow_SignoffStatus xmlns="9115ddca-c623-419f-a3c0-6a1c58c4dac8" xsi:nil="true"/>
    <MudmapEVID xmlns="9115ddca-c623-419f-a3c0-6a1c58c4dac8" xsi:nil="true"/>
    <Status xmlns="9115ddca-c623-419f-a3c0-6a1c58c4dac8" xsi:nil="true"/>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2677F7-02D3-49B5-9B04-C0FAA959630A}">
  <ds:schemaRefs>
    <ds:schemaRef ds:uri="http://schemas.microsoft.com/sharepoint/v3"/>
    <ds:schemaRef ds:uri="9115ddca-c623-419f-a3c0-6a1c58c4dac8"/>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244fe85f-b655-4145-9b20-543b75dc1c24"/>
  </ds:schemaRefs>
</ds:datastoreItem>
</file>

<file path=customXml/itemProps2.xml><?xml version="1.0" encoding="utf-8"?>
<ds:datastoreItem xmlns:ds="http://schemas.openxmlformats.org/officeDocument/2006/customXml" ds:itemID="{8AF7A910-3ABB-4F40-A5D2-84DB8E05E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394545A3-CC55-497E-9738-C672705635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1212</TotalTime>
  <Pages>74</Pages>
  <Words>24585</Words>
  <Characters>141930</Characters>
  <Application>Microsoft Office Word</Application>
  <DocSecurity>0</DocSecurity>
  <Lines>2843</Lines>
  <Paragraphs>1215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165691</CharactersWithSpaces>
  <SharedDoc>false</SharedDoc>
  <HLinks>
    <vt:vector size="408" baseType="variant">
      <vt:variant>
        <vt:i4>1114164</vt:i4>
      </vt:variant>
      <vt:variant>
        <vt:i4>404</vt:i4>
      </vt:variant>
      <vt:variant>
        <vt:i4>0</vt:i4>
      </vt:variant>
      <vt:variant>
        <vt:i4>5</vt:i4>
      </vt:variant>
      <vt:variant>
        <vt:lpwstr/>
      </vt:variant>
      <vt:variant>
        <vt:lpwstr>_Toc166165549</vt:lpwstr>
      </vt:variant>
      <vt:variant>
        <vt:i4>1114164</vt:i4>
      </vt:variant>
      <vt:variant>
        <vt:i4>398</vt:i4>
      </vt:variant>
      <vt:variant>
        <vt:i4>0</vt:i4>
      </vt:variant>
      <vt:variant>
        <vt:i4>5</vt:i4>
      </vt:variant>
      <vt:variant>
        <vt:lpwstr/>
      </vt:variant>
      <vt:variant>
        <vt:lpwstr>_Toc166165548</vt:lpwstr>
      </vt:variant>
      <vt:variant>
        <vt:i4>1114164</vt:i4>
      </vt:variant>
      <vt:variant>
        <vt:i4>392</vt:i4>
      </vt:variant>
      <vt:variant>
        <vt:i4>0</vt:i4>
      </vt:variant>
      <vt:variant>
        <vt:i4>5</vt:i4>
      </vt:variant>
      <vt:variant>
        <vt:lpwstr/>
      </vt:variant>
      <vt:variant>
        <vt:lpwstr>_Toc166165547</vt:lpwstr>
      </vt:variant>
      <vt:variant>
        <vt:i4>1114164</vt:i4>
      </vt:variant>
      <vt:variant>
        <vt:i4>386</vt:i4>
      </vt:variant>
      <vt:variant>
        <vt:i4>0</vt:i4>
      </vt:variant>
      <vt:variant>
        <vt:i4>5</vt:i4>
      </vt:variant>
      <vt:variant>
        <vt:lpwstr/>
      </vt:variant>
      <vt:variant>
        <vt:lpwstr>_Toc166165546</vt:lpwstr>
      </vt:variant>
      <vt:variant>
        <vt:i4>1114164</vt:i4>
      </vt:variant>
      <vt:variant>
        <vt:i4>380</vt:i4>
      </vt:variant>
      <vt:variant>
        <vt:i4>0</vt:i4>
      </vt:variant>
      <vt:variant>
        <vt:i4>5</vt:i4>
      </vt:variant>
      <vt:variant>
        <vt:lpwstr/>
      </vt:variant>
      <vt:variant>
        <vt:lpwstr>_Toc166165545</vt:lpwstr>
      </vt:variant>
      <vt:variant>
        <vt:i4>1114164</vt:i4>
      </vt:variant>
      <vt:variant>
        <vt:i4>374</vt:i4>
      </vt:variant>
      <vt:variant>
        <vt:i4>0</vt:i4>
      </vt:variant>
      <vt:variant>
        <vt:i4>5</vt:i4>
      </vt:variant>
      <vt:variant>
        <vt:lpwstr/>
      </vt:variant>
      <vt:variant>
        <vt:lpwstr>_Toc166165544</vt:lpwstr>
      </vt:variant>
      <vt:variant>
        <vt:i4>1114164</vt:i4>
      </vt:variant>
      <vt:variant>
        <vt:i4>368</vt:i4>
      </vt:variant>
      <vt:variant>
        <vt:i4>0</vt:i4>
      </vt:variant>
      <vt:variant>
        <vt:i4>5</vt:i4>
      </vt:variant>
      <vt:variant>
        <vt:lpwstr/>
      </vt:variant>
      <vt:variant>
        <vt:lpwstr>_Toc166165543</vt:lpwstr>
      </vt:variant>
      <vt:variant>
        <vt:i4>1114164</vt:i4>
      </vt:variant>
      <vt:variant>
        <vt:i4>362</vt:i4>
      </vt:variant>
      <vt:variant>
        <vt:i4>0</vt:i4>
      </vt:variant>
      <vt:variant>
        <vt:i4>5</vt:i4>
      </vt:variant>
      <vt:variant>
        <vt:lpwstr/>
      </vt:variant>
      <vt:variant>
        <vt:lpwstr>_Toc166165542</vt:lpwstr>
      </vt:variant>
      <vt:variant>
        <vt:i4>1114164</vt:i4>
      </vt:variant>
      <vt:variant>
        <vt:i4>356</vt:i4>
      </vt:variant>
      <vt:variant>
        <vt:i4>0</vt:i4>
      </vt:variant>
      <vt:variant>
        <vt:i4>5</vt:i4>
      </vt:variant>
      <vt:variant>
        <vt:lpwstr/>
      </vt:variant>
      <vt:variant>
        <vt:lpwstr>_Toc166165541</vt:lpwstr>
      </vt:variant>
      <vt:variant>
        <vt:i4>1114164</vt:i4>
      </vt:variant>
      <vt:variant>
        <vt:i4>350</vt:i4>
      </vt:variant>
      <vt:variant>
        <vt:i4>0</vt:i4>
      </vt:variant>
      <vt:variant>
        <vt:i4>5</vt:i4>
      </vt:variant>
      <vt:variant>
        <vt:lpwstr/>
      </vt:variant>
      <vt:variant>
        <vt:lpwstr>_Toc166165540</vt:lpwstr>
      </vt:variant>
      <vt:variant>
        <vt:i4>1441844</vt:i4>
      </vt:variant>
      <vt:variant>
        <vt:i4>344</vt:i4>
      </vt:variant>
      <vt:variant>
        <vt:i4>0</vt:i4>
      </vt:variant>
      <vt:variant>
        <vt:i4>5</vt:i4>
      </vt:variant>
      <vt:variant>
        <vt:lpwstr/>
      </vt:variant>
      <vt:variant>
        <vt:lpwstr>_Toc166165539</vt:lpwstr>
      </vt:variant>
      <vt:variant>
        <vt:i4>1441844</vt:i4>
      </vt:variant>
      <vt:variant>
        <vt:i4>338</vt:i4>
      </vt:variant>
      <vt:variant>
        <vt:i4>0</vt:i4>
      </vt:variant>
      <vt:variant>
        <vt:i4>5</vt:i4>
      </vt:variant>
      <vt:variant>
        <vt:lpwstr/>
      </vt:variant>
      <vt:variant>
        <vt:lpwstr>_Toc166165538</vt:lpwstr>
      </vt:variant>
      <vt:variant>
        <vt:i4>1441844</vt:i4>
      </vt:variant>
      <vt:variant>
        <vt:i4>332</vt:i4>
      </vt:variant>
      <vt:variant>
        <vt:i4>0</vt:i4>
      </vt:variant>
      <vt:variant>
        <vt:i4>5</vt:i4>
      </vt:variant>
      <vt:variant>
        <vt:lpwstr/>
      </vt:variant>
      <vt:variant>
        <vt:lpwstr>_Toc166165537</vt:lpwstr>
      </vt:variant>
      <vt:variant>
        <vt:i4>1441844</vt:i4>
      </vt:variant>
      <vt:variant>
        <vt:i4>326</vt:i4>
      </vt:variant>
      <vt:variant>
        <vt:i4>0</vt:i4>
      </vt:variant>
      <vt:variant>
        <vt:i4>5</vt:i4>
      </vt:variant>
      <vt:variant>
        <vt:lpwstr/>
      </vt:variant>
      <vt:variant>
        <vt:lpwstr>_Toc166165536</vt:lpwstr>
      </vt:variant>
      <vt:variant>
        <vt:i4>1441844</vt:i4>
      </vt:variant>
      <vt:variant>
        <vt:i4>320</vt:i4>
      </vt:variant>
      <vt:variant>
        <vt:i4>0</vt:i4>
      </vt:variant>
      <vt:variant>
        <vt:i4>5</vt:i4>
      </vt:variant>
      <vt:variant>
        <vt:lpwstr/>
      </vt:variant>
      <vt:variant>
        <vt:lpwstr>_Toc166165535</vt:lpwstr>
      </vt:variant>
      <vt:variant>
        <vt:i4>1441844</vt:i4>
      </vt:variant>
      <vt:variant>
        <vt:i4>314</vt:i4>
      </vt:variant>
      <vt:variant>
        <vt:i4>0</vt:i4>
      </vt:variant>
      <vt:variant>
        <vt:i4>5</vt:i4>
      </vt:variant>
      <vt:variant>
        <vt:lpwstr/>
      </vt:variant>
      <vt:variant>
        <vt:lpwstr>_Toc166165534</vt:lpwstr>
      </vt:variant>
      <vt:variant>
        <vt:i4>1441844</vt:i4>
      </vt:variant>
      <vt:variant>
        <vt:i4>308</vt:i4>
      </vt:variant>
      <vt:variant>
        <vt:i4>0</vt:i4>
      </vt:variant>
      <vt:variant>
        <vt:i4>5</vt:i4>
      </vt:variant>
      <vt:variant>
        <vt:lpwstr/>
      </vt:variant>
      <vt:variant>
        <vt:lpwstr>_Toc166165533</vt:lpwstr>
      </vt:variant>
      <vt:variant>
        <vt:i4>1441844</vt:i4>
      </vt:variant>
      <vt:variant>
        <vt:i4>302</vt:i4>
      </vt:variant>
      <vt:variant>
        <vt:i4>0</vt:i4>
      </vt:variant>
      <vt:variant>
        <vt:i4>5</vt:i4>
      </vt:variant>
      <vt:variant>
        <vt:lpwstr/>
      </vt:variant>
      <vt:variant>
        <vt:lpwstr>_Toc166165532</vt:lpwstr>
      </vt:variant>
      <vt:variant>
        <vt:i4>1441844</vt:i4>
      </vt:variant>
      <vt:variant>
        <vt:i4>296</vt:i4>
      </vt:variant>
      <vt:variant>
        <vt:i4>0</vt:i4>
      </vt:variant>
      <vt:variant>
        <vt:i4>5</vt:i4>
      </vt:variant>
      <vt:variant>
        <vt:lpwstr/>
      </vt:variant>
      <vt:variant>
        <vt:lpwstr>_Toc166165531</vt:lpwstr>
      </vt:variant>
      <vt:variant>
        <vt:i4>1441844</vt:i4>
      </vt:variant>
      <vt:variant>
        <vt:i4>290</vt:i4>
      </vt:variant>
      <vt:variant>
        <vt:i4>0</vt:i4>
      </vt:variant>
      <vt:variant>
        <vt:i4>5</vt:i4>
      </vt:variant>
      <vt:variant>
        <vt:lpwstr/>
      </vt:variant>
      <vt:variant>
        <vt:lpwstr>_Toc166165530</vt:lpwstr>
      </vt:variant>
      <vt:variant>
        <vt:i4>1507380</vt:i4>
      </vt:variant>
      <vt:variant>
        <vt:i4>284</vt:i4>
      </vt:variant>
      <vt:variant>
        <vt:i4>0</vt:i4>
      </vt:variant>
      <vt:variant>
        <vt:i4>5</vt:i4>
      </vt:variant>
      <vt:variant>
        <vt:lpwstr/>
      </vt:variant>
      <vt:variant>
        <vt:lpwstr>_Toc166165529</vt:lpwstr>
      </vt:variant>
      <vt:variant>
        <vt:i4>1507380</vt:i4>
      </vt:variant>
      <vt:variant>
        <vt:i4>278</vt:i4>
      </vt:variant>
      <vt:variant>
        <vt:i4>0</vt:i4>
      </vt:variant>
      <vt:variant>
        <vt:i4>5</vt:i4>
      </vt:variant>
      <vt:variant>
        <vt:lpwstr/>
      </vt:variant>
      <vt:variant>
        <vt:lpwstr>_Toc166165528</vt:lpwstr>
      </vt:variant>
      <vt:variant>
        <vt:i4>1507380</vt:i4>
      </vt:variant>
      <vt:variant>
        <vt:i4>272</vt:i4>
      </vt:variant>
      <vt:variant>
        <vt:i4>0</vt:i4>
      </vt:variant>
      <vt:variant>
        <vt:i4>5</vt:i4>
      </vt:variant>
      <vt:variant>
        <vt:lpwstr/>
      </vt:variant>
      <vt:variant>
        <vt:lpwstr>_Toc166165527</vt:lpwstr>
      </vt:variant>
      <vt:variant>
        <vt:i4>1507380</vt:i4>
      </vt:variant>
      <vt:variant>
        <vt:i4>266</vt:i4>
      </vt:variant>
      <vt:variant>
        <vt:i4>0</vt:i4>
      </vt:variant>
      <vt:variant>
        <vt:i4>5</vt:i4>
      </vt:variant>
      <vt:variant>
        <vt:lpwstr/>
      </vt:variant>
      <vt:variant>
        <vt:lpwstr>_Toc166165526</vt:lpwstr>
      </vt:variant>
      <vt:variant>
        <vt:i4>1507380</vt:i4>
      </vt:variant>
      <vt:variant>
        <vt:i4>260</vt:i4>
      </vt:variant>
      <vt:variant>
        <vt:i4>0</vt:i4>
      </vt:variant>
      <vt:variant>
        <vt:i4>5</vt:i4>
      </vt:variant>
      <vt:variant>
        <vt:lpwstr/>
      </vt:variant>
      <vt:variant>
        <vt:lpwstr>_Toc166165525</vt:lpwstr>
      </vt:variant>
      <vt:variant>
        <vt:i4>1507380</vt:i4>
      </vt:variant>
      <vt:variant>
        <vt:i4>254</vt:i4>
      </vt:variant>
      <vt:variant>
        <vt:i4>0</vt:i4>
      </vt:variant>
      <vt:variant>
        <vt:i4>5</vt:i4>
      </vt:variant>
      <vt:variant>
        <vt:lpwstr/>
      </vt:variant>
      <vt:variant>
        <vt:lpwstr>_Toc166165524</vt:lpwstr>
      </vt:variant>
      <vt:variant>
        <vt:i4>1507380</vt:i4>
      </vt:variant>
      <vt:variant>
        <vt:i4>248</vt:i4>
      </vt:variant>
      <vt:variant>
        <vt:i4>0</vt:i4>
      </vt:variant>
      <vt:variant>
        <vt:i4>5</vt:i4>
      </vt:variant>
      <vt:variant>
        <vt:lpwstr/>
      </vt:variant>
      <vt:variant>
        <vt:lpwstr>_Toc166165523</vt:lpwstr>
      </vt:variant>
      <vt:variant>
        <vt:i4>1507380</vt:i4>
      </vt:variant>
      <vt:variant>
        <vt:i4>242</vt:i4>
      </vt:variant>
      <vt:variant>
        <vt:i4>0</vt:i4>
      </vt:variant>
      <vt:variant>
        <vt:i4>5</vt:i4>
      </vt:variant>
      <vt:variant>
        <vt:lpwstr/>
      </vt:variant>
      <vt:variant>
        <vt:lpwstr>_Toc166165522</vt:lpwstr>
      </vt:variant>
      <vt:variant>
        <vt:i4>1507380</vt:i4>
      </vt:variant>
      <vt:variant>
        <vt:i4>236</vt:i4>
      </vt:variant>
      <vt:variant>
        <vt:i4>0</vt:i4>
      </vt:variant>
      <vt:variant>
        <vt:i4>5</vt:i4>
      </vt:variant>
      <vt:variant>
        <vt:lpwstr/>
      </vt:variant>
      <vt:variant>
        <vt:lpwstr>_Toc166165521</vt:lpwstr>
      </vt:variant>
      <vt:variant>
        <vt:i4>1507380</vt:i4>
      </vt:variant>
      <vt:variant>
        <vt:i4>230</vt:i4>
      </vt:variant>
      <vt:variant>
        <vt:i4>0</vt:i4>
      </vt:variant>
      <vt:variant>
        <vt:i4>5</vt:i4>
      </vt:variant>
      <vt:variant>
        <vt:lpwstr/>
      </vt:variant>
      <vt:variant>
        <vt:lpwstr>_Toc166165520</vt:lpwstr>
      </vt:variant>
      <vt:variant>
        <vt:i4>1310772</vt:i4>
      </vt:variant>
      <vt:variant>
        <vt:i4>224</vt:i4>
      </vt:variant>
      <vt:variant>
        <vt:i4>0</vt:i4>
      </vt:variant>
      <vt:variant>
        <vt:i4>5</vt:i4>
      </vt:variant>
      <vt:variant>
        <vt:lpwstr/>
      </vt:variant>
      <vt:variant>
        <vt:lpwstr>_Toc166165519</vt:lpwstr>
      </vt:variant>
      <vt:variant>
        <vt:i4>1310772</vt:i4>
      </vt:variant>
      <vt:variant>
        <vt:i4>218</vt:i4>
      </vt:variant>
      <vt:variant>
        <vt:i4>0</vt:i4>
      </vt:variant>
      <vt:variant>
        <vt:i4>5</vt:i4>
      </vt:variant>
      <vt:variant>
        <vt:lpwstr/>
      </vt:variant>
      <vt:variant>
        <vt:lpwstr>_Toc166165518</vt:lpwstr>
      </vt:variant>
      <vt:variant>
        <vt:i4>1310772</vt:i4>
      </vt:variant>
      <vt:variant>
        <vt:i4>212</vt:i4>
      </vt:variant>
      <vt:variant>
        <vt:i4>0</vt:i4>
      </vt:variant>
      <vt:variant>
        <vt:i4>5</vt:i4>
      </vt:variant>
      <vt:variant>
        <vt:lpwstr/>
      </vt:variant>
      <vt:variant>
        <vt:lpwstr>_Toc166165517</vt:lpwstr>
      </vt:variant>
      <vt:variant>
        <vt:i4>1310772</vt:i4>
      </vt:variant>
      <vt:variant>
        <vt:i4>206</vt:i4>
      </vt:variant>
      <vt:variant>
        <vt:i4>0</vt:i4>
      </vt:variant>
      <vt:variant>
        <vt:i4>5</vt:i4>
      </vt:variant>
      <vt:variant>
        <vt:lpwstr/>
      </vt:variant>
      <vt:variant>
        <vt:lpwstr>_Toc166165516</vt:lpwstr>
      </vt:variant>
      <vt:variant>
        <vt:i4>1310772</vt:i4>
      </vt:variant>
      <vt:variant>
        <vt:i4>200</vt:i4>
      </vt:variant>
      <vt:variant>
        <vt:i4>0</vt:i4>
      </vt:variant>
      <vt:variant>
        <vt:i4>5</vt:i4>
      </vt:variant>
      <vt:variant>
        <vt:lpwstr/>
      </vt:variant>
      <vt:variant>
        <vt:lpwstr>_Toc166165515</vt:lpwstr>
      </vt:variant>
      <vt:variant>
        <vt:i4>1310772</vt:i4>
      </vt:variant>
      <vt:variant>
        <vt:i4>194</vt:i4>
      </vt:variant>
      <vt:variant>
        <vt:i4>0</vt:i4>
      </vt:variant>
      <vt:variant>
        <vt:i4>5</vt:i4>
      </vt:variant>
      <vt:variant>
        <vt:lpwstr/>
      </vt:variant>
      <vt:variant>
        <vt:lpwstr>_Toc166165514</vt:lpwstr>
      </vt:variant>
      <vt:variant>
        <vt:i4>1310772</vt:i4>
      </vt:variant>
      <vt:variant>
        <vt:i4>188</vt:i4>
      </vt:variant>
      <vt:variant>
        <vt:i4>0</vt:i4>
      </vt:variant>
      <vt:variant>
        <vt:i4>5</vt:i4>
      </vt:variant>
      <vt:variant>
        <vt:lpwstr/>
      </vt:variant>
      <vt:variant>
        <vt:lpwstr>_Toc166165513</vt:lpwstr>
      </vt:variant>
      <vt:variant>
        <vt:i4>1310772</vt:i4>
      </vt:variant>
      <vt:variant>
        <vt:i4>182</vt:i4>
      </vt:variant>
      <vt:variant>
        <vt:i4>0</vt:i4>
      </vt:variant>
      <vt:variant>
        <vt:i4>5</vt:i4>
      </vt:variant>
      <vt:variant>
        <vt:lpwstr/>
      </vt:variant>
      <vt:variant>
        <vt:lpwstr>_Toc166165512</vt:lpwstr>
      </vt:variant>
      <vt:variant>
        <vt:i4>1310772</vt:i4>
      </vt:variant>
      <vt:variant>
        <vt:i4>176</vt:i4>
      </vt:variant>
      <vt:variant>
        <vt:i4>0</vt:i4>
      </vt:variant>
      <vt:variant>
        <vt:i4>5</vt:i4>
      </vt:variant>
      <vt:variant>
        <vt:lpwstr/>
      </vt:variant>
      <vt:variant>
        <vt:lpwstr>_Toc166165511</vt:lpwstr>
      </vt:variant>
      <vt:variant>
        <vt:i4>1310772</vt:i4>
      </vt:variant>
      <vt:variant>
        <vt:i4>170</vt:i4>
      </vt:variant>
      <vt:variant>
        <vt:i4>0</vt:i4>
      </vt:variant>
      <vt:variant>
        <vt:i4>5</vt:i4>
      </vt:variant>
      <vt:variant>
        <vt:lpwstr/>
      </vt:variant>
      <vt:variant>
        <vt:lpwstr>_Toc166165510</vt:lpwstr>
      </vt:variant>
      <vt:variant>
        <vt:i4>1376308</vt:i4>
      </vt:variant>
      <vt:variant>
        <vt:i4>164</vt:i4>
      </vt:variant>
      <vt:variant>
        <vt:i4>0</vt:i4>
      </vt:variant>
      <vt:variant>
        <vt:i4>5</vt:i4>
      </vt:variant>
      <vt:variant>
        <vt:lpwstr/>
      </vt:variant>
      <vt:variant>
        <vt:lpwstr>_Toc166165509</vt:lpwstr>
      </vt:variant>
      <vt:variant>
        <vt:i4>1376308</vt:i4>
      </vt:variant>
      <vt:variant>
        <vt:i4>158</vt:i4>
      </vt:variant>
      <vt:variant>
        <vt:i4>0</vt:i4>
      </vt:variant>
      <vt:variant>
        <vt:i4>5</vt:i4>
      </vt:variant>
      <vt:variant>
        <vt:lpwstr/>
      </vt:variant>
      <vt:variant>
        <vt:lpwstr>_Toc166165508</vt:lpwstr>
      </vt:variant>
      <vt:variant>
        <vt:i4>1376308</vt:i4>
      </vt:variant>
      <vt:variant>
        <vt:i4>152</vt:i4>
      </vt:variant>
      <vt:variant>
        <vt:i4>0</vt:i4>
      </vt:variant>
      <vt:variant>
        <vt:i4>5</vt:i4>
      </vt:variant>
      <vt:variant>
        <vt:lpwstr/>
      </vt:variant>
      <vt:variant>
        <vt:lpwstr>_Toc166165507</vt:lpwstr>
      </vt:variant>
      <vt:variant>
        <vt:i4>1376308</vt:i4>
      </vt:variant>
      <vt:variant>
        <vt:i4>146</vt:i4>
      </vt:variant>
      <vt:variant>
        <vt:i4>0</vt:i4>
      </vt:variant>
      <vt:variant>
        <vt:i4>5</vt:i4>
      </vt:variant>
      <vt:variant>
        <vt:lpwstr/>
      </vt:variant>
      <vt:variant>
        <vt:lpwstr>_Toc166165506</vt:lpwstr>
      </vt:variant>
      <vt:variant>
        <vt:i4>1376308</vt:i4>
      </vt:variant>
      <vt:variant>
        <vt:i4>140</vt:i4>
      </vt:variant>
      <vt:variant>
        <vt:i4>0</vt:i4>
      </vt:variant>
      <vt:variant>
        <vt:i4>5</vt:i4>
      </vt:variant>
      <vt:variant>
        <vt:lpwstr/>
      </vt:variant>
      <vt:variant>
        <vt:lpwstr>_Toc166165505</vt:lpwstr>
      </vt:variant>
      <vt:variant>
        <vt:i4>1376308</vt:i4>
      </vt:variant>
      <vt:variant>
        <vt:i4>134</vt:i4>
      </vt:variant>
      <vt:variant>
        <vt:i4>0</vt:i4>
      </vt:variant>
      <vt:variant>
        <vt:i4>5</vt:i4>
      </vt:variant>
      <vt:variant>
        <vt:lpwstr/>
      </vt:variant>
      <vt:variant>
        <vt:lpwstr>_Toc166165504</vt:lpwstr>
      </vt:variant>
      <vt:variant>
        <vt:i4>1376308</vt:i4>
      </vt:variant>
      <vt:variant>
        <vt:i4>128</vt:i4>
      </vt:variant>
      <vt:variant>
        <vt:i4>0</vt:i4>
      </vt:variant>
      <vt:variant>
        <vt:i4>5</vt:i4>
      </vt:variant>
      <vt:variant>
        <vt:lpwstr/>
      </vt:variant>
      <vt:variant>
        <vt:lpwstr>_Toc166165503</vt:lpwstr>
      </vt:variant>
      <vt:variant>
        <vt:i4>1376308</vt:i4>
      </vt:variant>
      <vt:variant>
        <vt:i4>122</vt:i4>
      </vt:variant>
      <vt:variant>
        <vt:i4>0</vt:i4>
      </vt:variant>
      <vt:variant>
        <vt:i4>5</vt:i4>
      </vt:variant>
      <vt:variant>
        <vt:lpwstr/>
      </vt:variant>
      <vt:variant>
        <vt:lpwstr>_Toc166165502</vt:lpwstr>
      </vt:variant>
      <vt:variant>
        <vt:i4>1376308</vt:i4>
      </vt:variant>
      <vt:variant>
        <vt:i4>116</vt:i4>
      </vt:variant>
      <vt:variant>
        <vt:i4>0</vt:i4>
      </vt:variant>
      <vt:variant>
        <vt:i4>5</vt:i4>
      </vt:variant>
      <vt:variant>
        <vt:lpwstr/>
      </vt:variant>
      <vt:variant>
        <vt:lpwstr>_Toc166165501</vt:lpwstr>
      </vt:variant>
      <vt:variant>
        <vt:i4>1376308</vt:i4>
      </vt:variant>
      <vt:variant>
        <vt:i4>110</vt:i4>
      </vt:variant>
      <vt:variant>
        <vt:i4>0</vt:i4>
      </vt:variant>
      <vt:variant>
        <vt:i4>5</vt:i4>
      </vt:variant>
      <vt:variant>
        <vt:lpwstr/>
      </vt:variant>
      <vt:variant>
        <vt:lpwstr>_Toc166165500</vt:lpwstr>
      </vt:variant>
      <vt:variant>
        <vt:i4>1835061</vt:i4>
      </vt:variant>
      <vt:variant>
        <vt:i4>104</vt:i4>
      </vt:variant>
      <vt:variant>
        <vt:i4>0</vt:i4>
      </vt:variant>
      <vt:variant>
        <vt:i4>5</vt:i4>
      </vt:variant>
      <vt:variant>
        <vt:lpwstr/>
      </vt:variant>
      <vt:variant>
        <vt:lpwstr>_Toc166165499</vt:lpwstr>
      </vt:variant>
      <vt:variant>
        <vt:i4>1835061</vt:i4>
      </vt:variant>
      <vt:variant>
        <vt:i4>98</vt:i4>
      </vt:variant>
      <vt:variant>
        <vt:i4>0</vt:i4>
      </vt:variant>
      <vt:variant>
        <vt:i4>5</vt:i4>
      </vt:variant>
      <vt:variant>
        <vt:lpwstr/>
      </vt:variant>
      <vt:variant>
        <vt:lpwstr>_Toc166165498</vt:lpwstr>
      </vt:variant>
      <vt:variant>
        <vt:i4>1835061</vt:i4>
      </vt:variant>
      <vt:variant>
        <vt:i4>92</vt:i4>
      </vt:variant>
      <vt:variant>
        <vt:i4>0</vt:i4>
      </vt:variant>
      <vt:variant>
        <vt:i4>5</vt:i4>
      </vt:variant>
      <vt:variant>
        <vt:lpwstr/>
      </vt:variant>
      <vt:variant>
        <vt:lpwstr>_Toc166165497</vt:lpwstr>
      </vt:variant>
      <vt:variant>
        <vt:i4>1835061</vt:i4>
      </vt:variant>
      <vt:variant>
        <vt:i4>86</vt:i4>
      </vt:variant>
      <vt:variant>
        <vt:i4>0</vt:i4>
      </vt:variant>
      <vt:variant>
        <vt:i4>5</vt:i4>
      </vt:variant>
      <vt:variant>
        <vt:lpwstr/>
      </vt:variant>
      <vt:variant>
        <vt:lpwstr>_Toc166165496</vt:lpwstr>
      </vt:variant>
      <vt:variant>
        <vt:i4>1835061</vt:i4>
      </vt:variant>
      <vt:variant>
        <vt:i4>80</vt:i4>
      </vt:variant>
      <vt:variant>
        <vt:i4>0</vt:i4>
      </vt:variant>
      <vt:variant>
        <vt:i4>5</vt:i4>
      </vt:variant>
      <vt:variant>
        <vt:lpwstr/>
      </vt:variant>
      <vt:variant>
        <vt:lpwstr>_Toc166165495</vt:lpwstr>
      </vt:variant>
      <vt:variant>
        <vt:i4>1835061</vt:i4>
      </vt:variant>
      <vt:variant>
        <vt:i4>74</vt:i4>
      </vt:variant>
      <vt:variant>
        <vt:i4>0</vt:i4>
      </vt:variant>
      <vt:variant>
        <vt:i4>5</vt:i4>
      </vt:variant>
      <vt:variant>
        <vt:lpwstr/>
      </vt:variant>
      <vt:variant>
        <vt:lpwstr>_Toc166165494</vt:lpwstr>
      </vt:variant>
      <vt:variant>
        <vt:i4>1835061</vt:i4>
      </vt:variant>
      <vt:variant>
        <vt:i4>68</vt:i4>
      </vt:variant>
      <vt:variant>
        <vt:i4>0</vt:i4>
      </vt:variant>
      <vt:variant>
        <vt:i4>5</vt:i4>
      </vt:variant>
      <vt:variant>
        <vt:lpwstr/>
      </vt:variant>
      <vt:variant>
        <vt:lpwstr>_Toc166165493</vt:lpwstr>
      </vt:variant>
      <vt:variant>
        <vt:i4>1835061</vt:i4>
      </vt:variant>
      <vt:variant>
        <vt:i4>62</vt:i4>
      </vt:variant>
      <vt:variant>
        <vt:i4>0</vt:i4>
      </vt:variant>
      <vt:variant>
        <vt:i4>5</vt:i4>
      </vt:variant>
      <vt:variant>
        <vt:lpwstr/>
      </vt:variant>
      <vt:variant>
        <vt:lpwstr>_Toc166165492</vt:lpwstr>
      </vt:variant>
      <vt:variant>
        <vt:i4>1835061</vt:i4>
      </vt:variant>
      <vt:variant>
        <vt:i4>56</vt:i4>
      </vt:variant>
      <vt:variant>
        <vt:i4>0</vt:i4>
      </vt:variant>
      <vt:variant>
        <vt:i4>5</vt:i4>
      </vt:variant>
      <vt:variant>
        <vt:lpwstr/>
      </vt:variant>
      <vt:variant>
        <vt:lpwstr>_Toc166165491</vt:lpwstr>
      </vt:variant>
      <vt:variant>
        <vt:i4>1835061</vt:i4>
      </vt:variant>
      <vt:variant>
        <vt:i4>50</vt:i4>
      </vt:variant>
      <vt:variant>
        <vt:i4>0</vt:i4>
      </vt:variant>
      <vt:variant>
        <vt:i4>5</vt:i4>
      </vt:variant>
      <vt:variant>
        <vt:lpwstr/>
      </vt:variant>
      <vt:variant>
        <vt:lpwstr>_Toc166165490</vt:lpwstr>
      </vt:variant>
      <vt:variant>
        <vt:i4>1900597</vt:i4>
      </vt:variant>
      <vt:variant>
        <vt:i4>44</vt:i4>
      </vt:variant>
      <vt:variant>
        <vt:i4>0</vt:i4>
      </vt:variant>
      <vt:variant>
        <vt:i4>5</vt:i4>
      </vt:variant>
      <vt:variant>
        <vt:lpwstr/>
      </vt:variant>
      <vt:variant>
        <vt:lpwstr>_Toc166165489</vt:lpwstr>
      </vt:variant>
      <vt:variant>
        <vt:i4>1900597</vt:i4>
      </vt:variant>
      <vt:variant>
        <vt:i4>38</vt:i4>
      </vt:variant>
      <vt:variant>
        <vt:i4>0</vt:i4>
      </vt:variant>
      <vt:variant>
        <vt:i4>5</vt:i4>
      </vt:variant>
      <vt:variant>
        <vt:lpwstr/>
      </vt:variant>
      <vt:variant>
        <vt:lpwstr>_Toc166165488</vt:lpwstr>
      </vt:variant>
      <vt:variant>
        <vt:i4>1900597</vt:i4>
      </vt:variant>
      <vt:variant>
        <vt:i4>32</vt:i4>
      </vt:variant>
      <vt:variant>
        <vt:i4>0</vt:i4>
      </vt:variant>
      <vt:variant>
        <vt:i4>5</vt:i4>
      </vt:variant>
      <vt:variant>
        <vt:lpwstr/>
      </vt:variant>
      <vt:variant>
        <vt:lpwstr>_Toc166165487</vt:lpwstr>
      </vt:variant>
      <vt:variant>
        <vt:i4>1900597</vt:i4>
      </vt:variant>
      <vt:variant>
        <vt:i4>26</vt:i4>
      </vt:variant>
      <vt:variant>
        <vt:i4>0</vt:i4>
      </vt:variant>
      <vt:variant>
        <vt:i4>5</vt:i4>
      </vt:variant>
      <vt:variant>
        <vt:lpwstr/>
      </vt:variant>
      <vt:variant>
        <vt:lpwstr>_Toc166165486</vt:lpwstr>
      </vt:variant>
      <vt:variant>
        <vt:i4>1900597</vt:i4>
      </vt:variant>
      <vt:variant>
        <vt:i4>20</vt:i4>
      </vt:variant>
      <vt:variant>
        <vt:i4>0</vt:i4>
      </vt:variant>
      <vt:variant>
        <vt:i4>5</vt:i4>
      </vt:variant>
      <vt:variant>
        <vt:lpwstr/>
      </vt:variant>
      <vt:variant>
        <vt:lpwstr>_Toc166165485</vt:lpwstr>
      </vt:variant>
      <vt:variant>
        <vt:i4>1900597</vt:i4>
      </vt:variant>
      <vt:variant>
        <vt:i4>14</vt:i4>
      </vt:variant>
      <vt:variant>
        <vt:i4>0</vt:i4>
      </vt:variant>
      <vt:variant>
        <vt:i4>5</vt:i4>
      </vt:variant>
      <vt:variant>
        <vt:lpwstr/>
      </vt:variant>
      <vt:variant>
        <vt:lpwstr>_Toc166165484</vt:lpwstr>
      </vt:variant>
      <vt:variant>
        <vt:i4>1900597</vt:i4>
      </vt:variant>
      <vt:variant>
        <vt:i4>8</vt:i4>
      </vt:variant>
      <vt:variant>
        <vt:i4>0</vt:i4>
      </vt:variant>
      <vt:variant>
        <vt:i4>5</vt:i4>
      </vt:variant>
      <vt:variant>
        <vt:lpwstr/>
      </vt:variant>
      <vt:variant>
        <vt:lpwstr>_Toc166165483</vt:lpwstr>
      </vt:variant>
      <vt:variant>
        <vt:i4>1900597</vt:i4>
      </vt:variant>
      <vt:variant>
        <vt:i4>2</vt:i4>
      </vt:variant>
      <vt:variant>
        <vt:i4>0</vt:i4>
      </vt:variant>
      <vt:variant>
        <vt:i4>5</vt:i4>
      </vt:variant>
      <vt:variant>
        <vt:lpwstr/>
      </vt:variant>
      <vt:variant>
        <vt:lpwstr>_Toc166165482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9: Statement of Risks</dc:subject>
  <dc:creator>Australian Government</dc:creator>
  <cp:keywords/>
  <dc:description/>
  <cp:lastModifiedBy>Hill, Christine</cp:lastModifiedBy>
  <cp:revision>488</cp:revision>
  <cp:lastPrinted>2024-05-12T01:31:00Z</cp:lastPrinted>
  <dcterms:created xsi:type="dcterms:W3CDTF">2024-05-02T17:50:00Z</dcterms:created>
  <dcterms:modified xsi:type="dcterms:W3CDTF">2024-05-13T04:37:00Z</dcterms:modified>
  <cp:category/>
</cp:coreProperties>
</file>