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7F44A" w14:textId="397EEE58" w:rsidR="006C4D3B" w:rsidRPr="001E6F2A" w:rsidRDefault="006C4D3B" w:rsidP="006C4D3B">
      <w:pPr>
        <w:pStyle w:val="Heading1"/>
      </w:pPr>
      <w:r w:rsidRPr="001E6F2A">
        <w:t>Appendix B: Assets and Liabilities</w:t>
      </w:r>
    </w:p>
    <w:p w14:paraId="5CC384B0" w14:textId="0290F7E3" w:rsidR="006C4D3B" w:rsidRPr="001E6F2A" w:rsidRDefault="006C4D3B" w:rsidP="006C4D3B">
      <w:pPr>
        <w:pStyle w:val="Heading2"/>
      </w:pPr>
      <w:bookmarkStart w:id="0" w:name="_Toc4789264"/>
      <w:r>
        <w:t>Overview</w:t>
      </w:r>
    </w:p>
    <w:p w14:paraId="53C62A8E" w14:textId="2CB7E126" w:rsidR="006C4D3B" w:rsidRPr="001E6F2A" w:rsidRDefault="006C4D3B" w:rsidP="006C4D3B">
      <w:r w:rsidRPr="001E6F2A">
        <w:t xml:space="preserve">This appendix provides an overview and commentary on </w:t>
      </w:r>
      <w:r w:rsidRPr="00F5211D">
        <w:t xml:space="preserve">Statement </w:t>
      </w:r>
      <w:r w:rsidR="0040122B" w:rsidRPr="00772A87">
        <w:t>9</w:t>
      </w:r>
      <w:r w:rsidRPr="00772A87">
        <w:t>:</w:t>
      </w:r>
      <w:r w:rsidRPr="002A0FE4">
        <w:t xml:space="preserve"> </w:t>
      </w:r>
      <w:r w:rsidRPr="00F6651B">
        <w:rPr>
          <w:rStyle w:val="Emphasis"/>
        </w:rPr>
        <w:t>Australian Government Budget Financial Statements</w:t>
      </w:r>
      <w:r w:rsidRPr="001E6F2A">
        <w:t xml:space="preserve"> including estimates of the Australian Government</w:t>
      </w:r>
      <w:r w:rsidR="005344FD">
        <w:t>’</w:t>
      </w:r>
      <w:r>
        <w:t>s</w:t>
      </w:r>
      <w:r w:rsidRPr="001E6F2A">
        <w:t xml:space="preserve"> budgeted assets and liabilities </w:t>
      </w:r>
      <w:proofErr w:type="gramStart"/>
      <w:r w:rsidRPr="001E6F2A">
        <w:t>at</w:t>
      </w:r>
      <w:proofErr w:type="gramEnd"/>
      <w:r w:rsidRPr="001E6F2A">
        <w:t xml:space="preserve"> 30 June for the current year, budget year and </w:t>
      </w:r>
      <w:r>
        <w:t>three</w:t>
      </w:r>
      <w:r w:rsidRPr="001E6F2A">
        <w:t xml:space="preserve"> forward years. </w:t>
      </w:r>
    </w:p>
    <w:p w14:paraId="745B6286" w14:textId="6A33F296" w:rsidR="006C4D3B" w:rsidRPr="001E6F2A" w:rsidRDefault="006C4D3B" w:rsidP="006C4D3B">
      <w:r w:rsidRPr="001E6F2A">
        <w:t>Changes in the balance sheet reflect movements in the budgeted operating result and</w:t>
      </w:r>
      <w:r w:rsidR="00AD7872">
        <w:t xml:space="preserve"> </w:t>
      </w:r>
      <w:r w:rsidRPr="001E6F2A">
        <w:t>balance sheet transactions.</w:t>
      </w:r>
    </w:p>
    <w:p w14:paraId="70DF9FD2" w14:textId="28FFEB66" w:rsidR="006C4D3B" w:rsidRDefault="006C4D3B" w:rsidP="006C4D3B">
      <w:r w:rsidRPr="00493735">
        <w:t>A more detailed explanation of major assets and liabilities held by Commonwealth entities, which form part of the Australian Government</w:t>
      </w:r>
      <w:r w:rsidR="005344FD">
        <w:t>’</w:t>
      </w:r>
      <w:r>
        <w:t>s</w:t>
      </w:r>
      <w:r w:rsidRPr="00493735">
        <w:t xml:space="preserve"> balance sheet, can be found in the </w:t>
      </w:r>
      <w:r w:rsidRPr="008141C4">
        <w:rPr>
          <w:rStyle w:val="Emphasis"/>
        </w:rPr>
        <w:t>Commonwealth Balance Sheet User Guide</w:t>
      </w:r>
      <w:r w:rsidRPr="00F6651B">
        <w:rPr>
          <w:rStyle w:val="Emphasis"/>
        </w:rPr>
        <w:t>,</w:t>
      </w:r>
      <w:r w:rsidRPr="00493735">
        <w:t xml:space="preserve"> published on the Finance website. </w:t>
      </w:r>
    </w:p>
    <w:p w14:paraId="4E031FEB" w14:textId="17F05F38" w:rsidR="006C4D3B" w:rsidRPr="00E0340D" w:rsidRDefault="006C4D3B" w:rsidP="006C4D3B">
      <w:r w:rsidRPr="00493735">
        <w:t>Further information on the Government</w:t>
      </w:r>
      <w:r w:rsidR="005344FD">
        <w:t>’</w:t>
      </w:r>
      <w:r>
        <w:t>s</w:t>
      </w:r>
      <w:r w:rsidRPr="00493735">
        <w:t xml:space="preserve"> fiscal strategy in relation to the balance sheet can be found in </w:t>
      </w:r>
      <w:r w:rsidRPr="00F5211D">
        <w:t xml:space="preserve">Statement 3: </w:t>
      </w:r>
      <w:r w:rsidRPr="00F5211D">
        <w:rPr>
          <w:rStyle w:val="Emphasis"/>
        </w:rPr>
        <w:t>Fiscal Strategy and Outlook</w:t>
      </w:r>
      <w:r w:rsidRPr="00F6651B">
        <w:rPr>
          <w:rStyle w:val="Emphasis"/>
        </w:rPr>
        <w:t>.</w:t>
      </w:r>
      <w:r w:rsidRPr="00493735">
        <w:t xml:space="preserve"> </w:t>
      </w:r>
    </w:p>
    <w:p w14:paraId="68EC521C" w14:textId="38B81DF5" w:rsidR="006C4D3B" w:rsidRPr="001E6F2A" w:rsidRDefault="006C4D3B" w:rsidP="006C4D3B">
      <w:pPr>
        <w:pStyle w:val="Heading2"/>
      </w:pPr>
      <w:r w:rsidRPr="001E6F2A">
        <w:t>The Australian Government</w:t>
      </w:r>
      <w:r w:rsidR="005344FD">
        <w:t>’</w:t>
      </w:r>
      <w:r>
        <w:t>s</w:t>
      </w:r>
      <w:r w:rsidRPr="001E6F2A">
        <w:t xml:space="preserve"> assets and liabilities</w:t>
      </w:r>
      <w:bookmarkEnd w:id="0"/>
    </w:p>
    <w:p w14:paraId="4D16F0E9" w14:textId="77777777" w:rsidR="006C4D3B" w:rsidRPr="001E6F2A" w:rsidRDefault="006C4D3B" w:rsidP="006C4D3B">
      <w:pPr>
        <w:pStyle w:val="Heading3"/>
      </w:pPr>
      <w:bookmarkStart w:id="1" w:name="_Toc4789265"/>
      <w:r w:rsidRPr="001E6F2A">
        <w:t>Assets</w:t>
      </w:r>
      <w:bookmarkEnd w:id="1"/>
    </w:p>
    <w:p w14:paraId="0424F456" w14:textId="5B4AFB02" w:rsidR="006C4D3B" w:rsidRPr="00BE63BC" w:rsidRDefault="006C4D3B" w:rsidP="006C4D3B">
      <w:r w:rsidRPr="00111F40">
        <w:t>The Government</w:t>
      </w:r>
      <w:r w:rsidR="005344FD">
        <w:t>’</w:t>
      </w:r>
      <w:r>
        <w:t>s</w:t>
      </w:r>
      <w:r w:rsidRPr="00111F40">
        <w:t xml:space="preserve"> total assets were $</w:t>
      </w:r>
      <w:r w:rsidR="00CF7D5F">
        <w:t>85</w:t>
      </w:r>
      <w:r w:rsidR="00310D63">
        <w:t>0.6</w:t>
      </w:r>
      <w:r w:rsidR="00967A89">
        <w:t> </w:t>
      </w:r>
      <w:r w:rsidRPr="00111F40">
        <w:t xml:space="preserve">billion </w:t>
      </w:r>
      <w:proofErr w:type="gramStart"/>
      <w:r w:rsidRPr="00111F40">
        <w:t>at</w:t>
      </w:r>
      <w:proofErr w:type="gramEnd"/>
      <w:r w:rsidRPr="00111F40">
        <w:t xml:space="preserve"> 30 June 202</w:t>
      </w:r>
      <w:r w:rsidR="00273347">
        <w:t>4</w:t>
      </w:r>
      <w:r w:rsidRPr="00111F40">
        <w:t xml:space="preserve">, and are estimated to </w:t>
      </w:r>
      <w:r w:rsidRPr="00214E01">
        <w:t>be $</w:t>
      </w:r>
      <w:r w:rsidR="00310D63">
        <w:t>857.6</w:t>
      </w:r>
      <w:r w:rsidRPr="00214E01">
        <w:rPr>
          <w:rFonts w:hint="eastAsia"/>
        </w:rPr>
        <w:t> </w:t>
      </w:r>
      <w:r w:rsidRPr="00214E01">
        <w:t>billion at 30 June 202</w:t>
      </w:r>
      <w:r w:rsidR="00EF1292" w:rsidRPr="00214E01">
        <w:t>5</w:t>
      </w:r>
      <w:r w:rsidRPr="00214E01">
        <w:t xml:space="preserve"> and $</w:t>
      </w:r>
      <w:r w:rsidR="008D213C" w:rsidRPr="00214E01">
        <w:t>1,0</w:t>
      </w:r>
      <w:r w:rsidR="00AC0CBB" w:rsidRPr="00214E01">
        <w:t>4</w:t>
      </w:r>
      <w:r w:rsidR="006E0D04">
        <w:t>6.5</w:t>
      </w:r>
      <w:r w:rsidR="00CF476D">
        <w:t> </w:t>
      </w:r>
      <w:r w:rsidRPr="00214E01">
        <w:t>billion at 30 June 202</w:t>
      </w:r>
      <w:r w:rsidR="008D213C" w:rsidRPr="00214E01">
        <w:t>9</w:t>
      </w:r>
      <w:r w:rsidRPr="00214E01">
        <w:t>.</w:t>
      </w:r>
    </w:p>
    <w:p w14:paraId="18BE4AFB" w14:textId="77777777" w:rsidR="006C4D3B" w:rsidRDefault="006C4D3B" w:rsidP="006C4D3B">
      <w:pPr>
        <w:spacing w:before="0" w:after="160" w:line="259" w:lineRule="auto"/>
      </w:pPr>
      <w:r>
        <w:br w:type="page"/>
      </w:r>
    </w:p>
    <w:p w14:paraId="574F3A73" w14:textId="5C4D7947" w:rsidR="006C4D3B" w:rsidRPr="001C30D5" w:rsidRDefault="006C4D3B" w:rsidP="006C4D3B">
      <w:r w:rsidRPr="001C30D5">
        <w:lastRenderedPageBreak/>
        <w:t xml:space="preserve">The composition of Australian Government </w:t>
      </w:r>
      <w:r w:rsidR="00FB0F14">
        <w:t>General Govern</w:t>
      </w:r>
      <w:r w:rsidR="00F94ABE">
        <w:t>ment Sector</w:t>
      </w:r>
      <w:r w:rsidRPr="001C30D5">
        <w:t xml:space="preserve"> assets </w:t>
      </w:r>
      <w:proofErr w:type="gramStart"/>
      <w:r w:rsidRPr="00B413EF">
        <w:t>at</w:t>
      </w:r>
      <w:proofErr w:type="gramEnd"/>
      <w:r w:rsidRPr="00B413EF">
        <w:t xml:space="preserve"> </w:t>
      </w:r>
      <w:r w:rsidRPr="0012363D">
        <w:t>30</w:t>
      </w:r>
      <w:r w:rsidR="00D372A7">
        <w:t> </w:t>
      </w:r>
      <w:r w:rsidRPr="0012363D">
        <w:t>June</w:t>
      </w:r>
      <w:r w:rsidR="006E59EC">
        <w:t> </w:t>
      </w:r>
      <w:r w:rsidRPr="0012363D">
        <w:t>202</w:t>
      </w:r>
      <w:r w:rsidR="00D67D8F" w:rsidRPr="0012363D">
        <w:t>5</w:t>
      </w:r>
      <w:r w:rsidRPr="001C30D5">
        <w:t xml:space="preserve"> is presented below in </w:t>
      </w:r>
      <w:r w:rsidRPr="00951CE5">
        <w:t xml:space="preserve">Chart </w:t>
      </w:r>
      <w:r w:rsidR="00F671ED">
        <w:t>9</w:t>
      </w:r>
      <w:r w:rsidR="006E59EC">
        <w:t>.</w:t>
      </w:r>
      <w:r w:rsidRPr="00D523E1">
        <w:t>B.1.</w:t>
      </w:r>
    </w:p>
    <w:p w14:paraId="09B9BB55" w14:textId="5CAFCB62" w:rsidR="00F825E6" w:rsidRDefault="006C4D3B" w:rsidP="00C524B8">
      <w:pPr>
        <w:pStyle w:val="ChartMainHeading"/>
        <w:rPr>
          <w:noProof/>
        </w:rPr>
      </w:pPr>
      <w:r w:rsidRPr="001C30D5">
        <w:t xml:space="preserve">Chart </w:t>
      </w:r>
      <w:r w:rsidR="00F671ED">
        <w:t>9</w:t>
      </w:r>
      <w:r w:rsidR="006E59EC">
        <w:t>.</w:t>
      </w:r>
      <w:r w:rsidRPr="001C30D5">
        <w:t>B.1:</w:t>
      </w:r>
      <w:r w:rsidRPr="001E6F2A">
        <w:t xml:space="preserve"> Australian Government </w:t>
      </w:r>
      <w:r w:rsidR="008E77A7">
        <w:t>General Government Sector</w:t>
      </w:r>
      <w:r w:rsidRPr="001E6F2A">
        <w:t xml:space="preserve"> asset composition</w:t>
      </w:r>
    </w:p>
    <w:p w14:paraId="37F9BC58" w14:textId="3004FE1D" w:rsidR="00C524B8" w:rsidRPr="00C524B8" w:rsidRDefault="00C524B8" w:rsidP="00C524B8">
      <w:pPr>
        <w:pStyle w:val="ChartGraphic"/>
      </w:pPr>
      <w:r w:rsidRPr="00C524B8">
        <w:rPr>
          <w:noProof/>
        </w:rPr>
        <w:drawing>
          <wp:inline distT="0" distB="0" distL="0" distR="0" wp14:anchorId="0AF969A5" wp14:editId="5353D0D5">
            <wp:extent cx="4895850" cy="3034665"/>
            <wp:effectExtent l="0" t="0" r="0" b="0"/>
            <wp:docPr id="2120162862" name="Picture 1" descr="This chart illustrates the Australian Government General Government Sector asset composition as at 30 June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162862" name="Picture 1" descr="This chart illustrates the Australian Government General Government Sector asset composition as at 30 June 20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95850" cy="3034665"/>
                    </a:xfrm>
                    <a:prstGeom prst="rect">
                      <a:avLst/>
                    </a:prstGeom>
                    <a:noFill/>
                    <a:ln>
                      <a:noFill/>
                    </a:ln>
                  </pic:spPr>
                </pic:pic>
              </a:graphicData>
            </a:graphic>
          </wp:inline>
        </w:drawing>
      </w:r>
    </w:p>
    <w:p w14:paraId="6E98D5FC" w14:textId="7C106AEB" w:rsidR="006C4D3B" w:rsidRPr="001E6F2A" w:rsidRDefault="006C4D3B" w:rsidP="006C4D3B">
      <w:pPr>
        <w:pStyle w:val="ChartandTableFootnote"/>
        <w:rPr>
          <w:color w:val="auto"/>
        </w:rPr>
      </w:pPr>
      <w:r w:rsidRPr="001E6F2A">
        <w:rPr>
          <w:color w:val="auto"/>
        </w:rPr>
        <w:t xml:space="preserve">Note: </w:t>
      </w:r>
      <w:r w:rsidRPr="001E6F2A">
        <w:rPr>
          <w:color w:val="auto"/>
        </w:rPr>
        <w:tab/>
        <w:t xml:space="preserve">Other financial assets </w:t>
      </w:r>
      <w:proofErr w:type="gramStart"/>
      <w:r w:rsidRPr="001E6F2A">
        <w:rPr>
          <w:color w:val="auto"/>
        </w:rPr>
        <w:t>includes</w:t>
      </w:r>
      <w:proofErr w:type="gramEnd"/>
      <w:r w:rsidRPr="001E6F2A">
        <w:rPr>
          <w:color w:val="auto"/>
        </w:rPr>
        <w:t xml:space="preserve"> cash and deposits and other receivables.</w:t>
      </w:r>
    </w:p>
    <w:p w14:paraId="7856280B" w14:textId="77777777" w:rsidR="006C4D3B" w:rsidRPr="001E6F2A" w:rsidRDefault="006C4D3B" w:rsidP="006C4D3B">
      <w:pPr>
        <w:pStyle w:val="ChartLine"/>
      </w:pPr>
    </w:p>
    <w:p w14:paraId="1C4B25CF" w14:textId="77777777" w:rsidR="006C4D3B" w:rsidRPr="001E6F2A" w:rsidRDefault="006C4D3B" w:rsidP="006C4D3B">
      <w:pPr>
        <w:pStyle w:val="Heading4"/>
      </w:pPr>
      <w:r w:rsidRPr="001E6F2A">
        <w:t>Australian Government assets over the forward estimates</w:t>
      </w:r>
    </w:p>
    <w:p w14:paraId="09F63AC3" w14:textId="63CE4E2C" w:rsidR="006C4D3B" w:rsidRPr="001E6F2A" w:rsidRDefault="006C4D3B" w:rsidP="006C4D3B">
      <w:r w:rsidRPr="00E86E7F">
        <w:t>The Government</w:t>
      </w:r>
      <w:r w:rsidR="005344FD">
        <w:t>’</w:t>
      </w:r>
      <w:r>
        <w:t>s</w:t>
      </w:r>
      <w:r w:rsidRPr="00E86E7F">
        <w:t xml:space="preserve"> total assets are expected to grow over the forward estimates due to increased advances paid, investments and acquisitions of non</w:t>
      </w:r>
      <w:r w:rsidR="005344FD">
        <w:noBreakHyphen/>
      </w:r>
      <w:r w:rsidRPr="00E86E7F">
        <w:t>financial assets.</w:t>
      </w:r>
    </w:p>
    <w:p w14:paraId="46390608" w14:textId="77777777" w:rsidR="006C4D3B" w:rsidRDefault="006C4D3B" w:rsidP="006C4D3B">
      <w:pPr>
        <w:spacing w:before="0" w:after="160" w:line="259" w:lineRule="auto"/>
      </w:pPr>
      <w:r>
        <w:br w:type="page"/>
      </w:r>
    </w:p>
    <w:p w14:paraId="14A94DC8" w14:textId="0FBB78D2" w:rsidR="006C4D3B" w:rsidRPr="00826F32" w:rsidRDefault="006C4D3B" w:rsidP="006C4D3B">
      <w:r w:rsidRPr="00826F32">
        <w:lastRenderedPageBreak/>
        <w:t>The budgeted composition of assets on the Australian Government</w:t>
      </w:r>
      <w:r w:rsidR="005344FD">
        <w:t>’</w:t>
      </w:r>
      <w:r>
        <w:t>s</w:t>
      </w:r>
      <w:r w:rsidRPr="00826F32">
        <w:t xml:space="preserve"> balance sheet is provided in </w:t>
      </w:r>
      <w:r w:rsidRPr="00951CE5">
        <w:t xml:space="preserve">Chart </w:t>
      </w:r>
      <w:r w:rsidR="009B551C" w:rsidRPr="00951CE5">
        <w:t>9</w:t>
      </w:r>
      <w:r w:rsidR="006E59EC">
        <w:t>.</w:t>
      </w:r>
      <w:r w:rsidRPr="00951CE5">
        <w:t>B.2</w:t>
      </w:r>
      <w:r w:rsidRPr="00826F32">
        <w:t xml:space="preserve"> below. </w:t>
      </w:r>
    </w:p>
    <w:p w14:paraId="05683BE7" w14:textId="6BCC26D1" w:rsidR="008E300A" w:rsidRDefault="006C4D3B" w:rsidP="009C713D">
      <w:pPr>
        <w:pStyle w:val="ChartMainHeading"/>
        <w:rPr>
          <w:noProof/>
        </w:rPr>
      </w:pPr>
      <w:r w:rsidRPr="00826F32">
        <w:t xml:space="preserve">Chart </w:t>
      </w:r>
      <w:r w:rsidR="004A6DBA">
        <w:t>9</w:t>
      </w:r>
      <w:r w:rsidR="003F36F4">
        <w:t>.</w:t>
      </w:r>
      <w:r w:rsidRPr="00826F32">
        <w:t>B.2: Australian</w:t>
      </w:r>
      <w:r w:rsidRPr="001E6F2A">
        <w:t xml:space="preserve"> Government assets over the forward estimates</w:t>
      </w:r>
    </w:p>
    <w:p w14:paraId="11F4DDD2" w14:textId="5FCEE449" w:rsidR="009C713D" w:rsidRPr="009C713D" w:rsidRDefault="007D3FA0" w:rsidP="001160BB">
      <w:pPr>
        <w:pStyle w:val="ChartGraphic"/>
      </w:pPr>
      <w:bookmarkStart w:id="2" w:name="_1803901100"/>
      <w:bookmarkStart w:id="3" w:name="_1804057474"/>
      <w:bookmarkEnd w:id="2"/>
      <w:bookmarkEnd w:id="3"/>
      <w:r>
        <w:pict w14:anchorId="7A6DC2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his chart illustrates the Australian Government General Government Sector asset composition over the forward estimates." style="width:368.25pt;height:239.25pt">
            <v:imagedata r:id="rId8" o:title=""/>
          </v:shape>
        </w:pict>
      </w:r>
    </w:p>
    <w:p w14:paraId="18852CD6" w14:textId="77777777" w:rsidR="006C4D3B" w:rsidRPr="001E6F2A" w:rsidRDefault="006C4D3B" w:rsidP="006C4D3B">
      <w:pPr>
        <w:pStyle w:val="ChartandTableFootnote"/>
        <w:rPr>
          <w:color w:val="auto"/>
        </w:rPr>
      </w:pPr>
      <w:r w:rsidRPr="001E6F2A">
        <w:rPr>
          <w:color w:val="auto"/>
        </w:rPr>
        <w:t xml:space="preserve">Note: </w:t>
      </w:r>
      <w:r w:rsidRPr="001E6F2A">
        <w:rPr>
          <w:color w:val="auto"/>
        </w:rPr>
        <w:tab/>
        <w:t xml:space="preserve">Other financial assets </w:t>
      </w:r>
      <w:proofErr w:type="gramStart"/>
      <w:r w:rsidRPr="001E6F2A">
        <w:rPr>
          <w:color w:val="auto"/>
        </w:rPr>
        <w:t>includes</w:t>
      </w:r>
      <w:proofErr w:type="gramEnd"/>
      <w:r w:rsidRPr="001E6F2A">
        <w:rPr>
          <w:color w:val="auto"/>
        </w:rPr>
        <w:t xml:space="preserve"> cash and deposits and other receivables.</w:t>
      </w:r>
    </w:p>
    <w:p w14:paraId="4815CD82" w14:textId="77777777" w:rsidR="006C4D3B" w:rsidRPr="001E6F2A" w:rsidRDefault="006C4D3B" w:rsidP="006C4D3B">
      <w:pPr>
        <w:pStyle w:val="ChartLine"/>
      </w:pPr>
    </w:p>
    <w:p w14:paraId="0779BDCF" w14:textId="77777777" w:rsidR="006C4D3B" w:rsidRDefault="006C4D3B" w:rsidP="006C4D3B">
      <w:pPr>
        <w:spacing w:before="0" w:after="160" w:line="259" w:lineRule="auto"/>
        <w:rPr>
          <w:rFonts w:ascii="Arial Bold" w:hAnsi="Arial Bold"/>
          <w:b/>
          <w:sz w:val="22"/>
        </w:rPr>
      </w:pPr>
      <w:bookmarkStart w:id="4" w:name="_Hlk134008648"/>
      <w:r>
        <w:br w:type="page"/>
      </w:r>
    </w:p>
    <w:p w14:paraId="64736FE9" w14:textId="77777777" w:rsidR="006C4D3B" w:rsidRPr="001E6F2A" w:rsidRDefault="006C4D3B" w:rsidP="006C4D3B">
      <w:pPr>
        <w:pStyle w:val="Heading3"/>
      </w:pPr>
      <w:r w:rsidRPr="001E6F2A">
        <w:lastRenderedPageBreak/>
        <w:t>Financial assets</w:t>
      </w:r>
    </w:p>
    <w:bookmarkEnd w:id="4"/>
    <w:p w14:paraId="3B9922F3" w14:textId="3E926FD2" w:rsidR="006C4D3B" w:rsidRPr="00B03AB9" w:rsidRDefault="006C4D3B" w:rsidP="006C4D3B">
      <w:r w:rsidRPr="009C6020">
        <w:t>The Government</w:t>
      </w:r>
      <w:r w:rsidR="005344FD" w:rsidRPr="009C6020">
        <w:t>’</w:t>
      </w:r>
      <w:r w:rsidRPr="009C6020">
        <w:t>s financial assets are estimated to be $6</w:t>
      </w:r>
      <w:r w:rsidR="00A67550">
        <w:t>37</w:t>
      </w:r>
      <w:r w:rsidR="00697B99">
        <w:t>.0</w:t>
      </w:r>
      <w:r w:rsidRPr="009C6020">
        <w:rPr>
          <w:rFonts w:hint="eastAsia"/>
        </w:rPr>
        <w:t> </w:t>
      </w:r>
      <w:r w:rsidRPr="009C6020">
        <w:t xml:space="preserve">billion </w:t>
      </w:r>
      <w:proofErr w:type="gramStart"/>
      <w:r w:rsidRPr="009C6020">
        <w:t>at</w:t>
      </w:r>
      <w:proofErr w:type="gramEnd"/>
      <w:r w:rsidRPr="009C6020">
        <w:t xml:space="preserve"> 30 June 202</w:t>
      </w:r>
      <w:r w:rsidR="006577C6" w:rsidRPr="009C6020">
        <w:t>5</w:t>
      </w:r>
      <w:r w:rsidRPr="009C6020">
        <w:t>, increasing to $7</w:t>
      </w:r>
      <w:r w:rsidR="006D28E5" w:rsidRPr="009C6020">
        <w:t>8</w:t>
      </w:r>
      <w:r w:rsidR="003B317E">
        <w:t>9</w:t>
      </w:r>
      <w:r w:rsidR="006D28E5" w:rsidRPr="009C6020">
        <w:t>.</w:t>
      </w:r>
      <w:r w:rsidR="00487462">
        <w:t>2</w:t>
      </w:r>
      <w:r w:rsidRPr="009C6020">
        <w:rPr>
          <w:rFonts w:hint="eastAsia"/>
        </w:rPr>
        <w:t> </w:t>
      </w:r>
      <w:r w:rsidRPr="009C6020">
        <w:t>billion by 30 June 202</w:t>
      </w:r>
      <w:r w:rsidR="0019770B" w:rsidRPr="009C6020">
        <w:t>9</w:t>
      </w:r>
      <w:r w:rsidRPr="009C6020">
        <w:t>.</w:t>
      </w:r>
    </w:p>
    <w:p w14:paraId="00F7D282" w14:textId="11FA0FA6" w:rsidR="006C4D3B" w:rsidRDefault="006C4D3B" w:rsidP="001160BB">
      <w:pPr>
        <w:pStyle w:val="ChartMainHeading"/>
      </w:pPr>
      <w:r w:rsidRPr="00720DCE">
        <w:t xml:space="preserve">Chart </w:t>
      </w:r>
      <w:r w:rsidR="004A6DBA">
        <w:t>9</w:t>
      </w:r>
      <w:r w:rsidR="003F36F4">
        <w:t>.</w:t>
      </w:r>
      <w:r w:rsidRPr="00720DCE">
        <w:t>B.3: Financial</w:t>
      </w:r>
      <w:r w:rsidRPr="001E6F2A">
        <w:t xml:space="preserve"> assets over the forward estimates</w:t>
      </w:r>
    </w:p>
    <w:p w14:paraId="34AE6F6E" w14:textId="72DC7421" w:rsidR="009657AF" w:rsidRPr="001E6F2A" w:rsidRDefault="007D3FA0" w:rsidP="006C4D3B">
      <w:pPr>
        <w:pStyle w:val="ChartGraphic"/>
      </w:pPr>
      <w:bookmarkStart w:id="5" w:name="_1803901102"/>
      <w:bookmarkStart w:id="6" w:name="_1804057476"/>
      <w:bookmarkEnd w:id="5"/>
      <w:bookmarkEnd w:id="6"/>
      <w:r>
        <w:pict w14:anchorId="54C3B3FB">
          <v:shape id="_x0000_i1026" type="#_x0000_t75" alt="This chart illustrates the Australian Government General Government Sector financial asset composition over the forward estimates." style="width:368.25pt;height:227.25pt">
            <v:imagedata r:id="rId9" o:title=""/>
          </v:shape>
        </w:pict>
      </w:r>
    </w:p>
    <w:p w14:paraId="3E538032" w14:textId="77777777" w:rsidR="006C4D3B" w:rsidRPr="001E6F2A" w:rsidRDefault="006C4D3B" w:rsidP="006C4D3B">
      <w:pPr>
        <w:pStyle w:val="ChartLine"/>
      </w:pPr>
    </w:p>
    <w:p w14:paraId="2469D622" w14:textId="77777777" w:rsidR="006C4D3B" w:rsidRPr="001E6F2A" w:rsidRDefault="006C4D3B" w:rsidP="006C4D3B">
      <w:pPr>
        <w:pStyle w:val="Heading4"/>
      </w:pPr>
      <w:r w:rsidRPr="001E6F2A">
        <w:t>Advances paid</w:t>
      </w:r>
    </w:p>
    <w:p w14:paraId="0B489EBC" w14:textId="77777777" w:rsidR="006C4D3B" w:rsidRPr="00FE7C9E" w:rsidRDefault="006C4D3B" w:rsidP="006C4D3B">
      <w:r w:rsidRPr="00FE7C9E">
        <w:t xml:space="preserve">Advances paid is comprised of the Higher Education Loan Program and other student loan schemes and loans to state and territory governments. The value of advances paid is estimated to grow over the forward estimates predominantly due to expected growth in student loans. </w:t>
      </w:r>
    </w:p>
    <w:p w14:paraId="7BFE579A" w14:textId="40CFD2D4" w:rsidR="006C4D3B" w:rsidRPr="001E6F2A" w:rsidRDefault="006C4D3B" w:rsidP="006C4D3B">
      <w:r w:rsidRPr="001E6F2A">
        <w:t xml:space="preserve">Further details on loans made by the Government are provided in </w:t>
      </w:r>
      <w:r w:rsidRPr="00951CE5">
        <w:t xml:space="preserve">Statement </w:t>
      </w:r>
      <w:r w:rsidR="00B61ED2" w:rsidRPr="00951CE5">
        <w:t>8</w:t>
      </w:r>
      <w:r w:rsidRPr="00951CE5">
        <w:t xml:space="preserve">: </w:t>
      </w:r>
      <w:r w:rsidRPr="00951CE5">
        <w:rPr>
          <w:rStyle w:val="Emphasis"/>
        </w:rPr>
        <w:t>Statement of Risks.</w:t>
      </w:r>
    </w:p>
    <w:p w14:paraId="6773AFD2" w14:textId="77777777" w:rsidR="006C4D3B" w:rsidRPr="001E6F2A" w:rsidRDefault="006C4D3B" w:rsidP="006C4D3B">
      <w:pPr>
        <w:pStyle w:val="Heading4"/>
      </w:pPr>
      <w:r w:rsidRPr="001E6F2A">
        <w:t>Investments, loans and placements</w:t>
      </w:r>
    </w:p>
    <w:p w14:paraId="5C2CF550" w14:textId="77777777" w:rsidR="006C4D3B" w:rsidRDefault="006C4D3B" w:rsidP="006C4D3B">
      <w:r w:rsidRPr="003B23CF">
        <w:t>Investments, loans and placements is predominantly comprised of investments held in relation to the Australian Government Investment Funds, which includes the Future Fund, as well as by other entities, such as the Australian Office of Financial Management, the Treasury and specialist investment vehicles</w:t>
      </w:r>
      <w:r>
        <w:t>.</w:t>
      </w:r>
    </w:p>
    <w:p w14:paraId="43CBD8BA" w14:textId="4C189CE8" w:rsidR="006C4D3B" w:rsidRPr="004135B3" w:rsidRDefault="006C4D3B" w:rsidP="006C4D3B">
      <w:r w:rsidRPr="004135B3">
        <w:t xml:space="preserve">Specialist investment vehicles include the </w:t>
      </w:r>
      <w:r w:rsidRPr="006F4276">
        <w:t xml:space="preserve">National Reconstruction Fund Corporation, </w:t>
      </w:r>
      <w:r w:rsidRPr="004135B3">
        <w:t xml:space="preserve">Clean Energy Finance Corporation, Northern Australia Infrastructure Facility and the Regional Investment Corporation, which provide loans, guarantees and equity injections for projects that deliver public value. </w:t>
      </w:r>
    </w:p>
    <w:p w14:paraId="7E46292A" w14:textId="77777777" w:rsidR="006C4D3B" w:rsidRPr="0070104F" w:rsidRDefault="006C4D3B" w:rsidP="006C4D3B">
      <w:r w:rsidRPr="0070104F">
        <w:lastRenderedPageBreak/>
        <w:t>The value of total Australian Government investments, loans and placements is expected to increase steadily over the forward estimates due to forecast investment returns and the investment activities of the Australian Government Investment Funds and specialist investment vehicles.</w:t>
      </w:r>
    </w:p>
    <w:p w14:paraId="64A6290A" w14:textId="17AB5B24" w:rsidR="006C4D3B" w:rsidRPr="001E6F2A" w:rsidRDefault="006C4D3B" w:rsidP="006C4D3B">
      <w:pPr>
        <w:rPr>
          <w:rFonts w:ascii="Arial Bold" w:hAnsi="Arial Bold"/>
          <w:b/>
          <w:sz w:val="20"/>
        </w:rPr>
      </w:pPr>
      <w:r w:rsidRPr="00871ED6">
        <w:t xml:space="preserve">A breakdown of investments, loans and placements is provided in </w:t>
      </w:r>
      <w:r w:rsidRPr="00BC53F2">
        <w:t xml:space="preserve">Note 14 to Statement </w:t>
      </w:r>
      <w:r w:rsidR="00BC07BD" w:rsidRPr="00BC53F2">
        <w:t>9</w:t>
      </w:r>
      <w:r w:rsidRPr="00BC53F2">
        <w:t xml:space="preserve">: </w:t>
      </w:r>
      <w:r w:rsidRPr="00BC53F2">
        <w:rPr>
          <w:rStyle w:val="Emphasis"/>
        </w:rPr>
        <w:t>Australian Government Budget Financial Statements</w:t>
      </w:r>
      <w:r w:rsidRPr="00BC53F2">
        <w:rPr>
          <w:i/>
        </w:rPr>
        <w:t xml:space="preserve"> </w:t>
      </w:r>
      <w:r w:rsidRPr="00BC53F2">
        <w:t>and further in</w:t>
      </w:r>
      <w:r w:rsidRPr="00871ED6">
        <w:t xml:space="preserve">formation on the Australian Government Investment Funds is provided below. Further details on loans made by the Government </w:t>
      </w:r>
      <w:proofErr w:type="gramStart"/>
      <w:r>
        <w:t>is</w:t>
      </w:r>
      <w:proofErr w:type="gramEnd"/>
      <w:r w:rsidRPr="00871ED6">
        <w:t xml:space="preserve"> provided in </w:t>
      </w:r>
      <w:r w:rsidRPr="00951CE5">
        <w:t xml:space="preserve">Statement </w:t>
      </w:r>
      <w:r w:rsidR="00BC07BD" w:rsidRPr="00951CE5">
        <w:t>8</w:t>
      </w:r>
      <w:r w:rsidRPr="00951CE5">
        <w:t xml:space="preserve">: </w:t>
      </w:r>
      <w:r w:rsidRPr="00951CE5">
        <w:rPr>
          <w:rStyle w:val="Emphasis"/>
        </w:rPr>
        <w:t>Statement of Risks.</w:t>
      </w:r>
    </w:p>
    <w:p w14:paraId="55815D57" w14:textId="77777777" w:rsidR="006C4D3B" w:rsidRPr="00975120" w:rsidRDefault="006C4D3B" w:rsidP="006C4D3B">
      <w:pPr>
        <w:pStyle w:val="Heading5"/>
      </w:pPr>
      <w:bookmarkStart w:id="7" w:name="_Hlk162440725"/>
      <w:r w:rsidRPr="00975120">
        <w:t>Australian Government Investment Funds</w:t>
      </w:r>
    </w:p>
    <w:bookmarkEnd w:id="7"/>
    <w:p w14:paraId="5EE6C458" w14:textId="77777777" w:rsidR="006C4D3B" w:rsidRPr="00975120" w:rsidRDefault="006C4D3B" w:rsidP="006C4D3B">
      <w:r w:rsidRPr="00975120">
        <w:t xml:space="preserve">The Australian Government Investment Funds are the: Future Fund, </w:t>
      </w:r>
      <w:proofErr w:type="spellStart"/>
      <w:r w:rsidRPr="00975120">
        <w:t>DisabilityCare</w:t>
      </w:r>
      <w:proofErr w:type="spellEnd"/>
      <w:r w:rsidRPr="00975120">
        <w:t xml:space="preserve"> Australia Fund, Medical Research Future Fund, Aboriginal and Torres Strait Islander Land and Sea Future Fund, Future Drought Fund, Disaster Ready Fund and the Housing Australia Future Fund. Investments held in relation to the Australian Government Investment Funds are predominantly collective investment vehicles, other </w:t>
      </w:r>
      <w:proofErr w:type="gramStart"/>
      <w:r w:rsidRPr="00975120">
        <w:t>interest bearing</w:t>
      </w:r>
      <w:proofErr w:type="gramEnd"/>
      <w:r w:rsidRPr="00975120">
        <w:t xml:space="preserve"> securities and equity investments. </w:t>
      </w:r>
    </w:p>
    <w:p w14:paraId="560759D4" w14:textId="60D449F9" w:rsidR="006C4D3B" w:rsidRPr="00975120" w:rsidRDefault="006C4D3B" w:rsidP="006C4D3B">
      <w:r w:rsidRPr="00975120">
        <w:t>The budgeted value of Australian Government Investment Funds is provided in Table </w:t>
      </w:r>
      <w:r w:rsidR="004B204F">
        <w:t>9</w:t>
      </w:r>
      <w:r w:rsidR="002D39A0">
        <w:t>.</w:t>
      </w:r>
      <w:r w:rsidRPr="00975120">
        <w:t xml:space="preserve">B.1. </w:t>
      </w:r>
    </w:p>
    <w:p w14:paraId="5A4E20BE" w14:textId="3084034E" w:rsidR="000B44B2" w:rsidRDefault="006C4D3B" w:rsidP="000B44B2">
      <w:pPr>
        <w:pStyle w:val="TableHeading"/>
        <w:rPr>
          <w:rFonts w:asciiTheme="minorHAnsi" w:eastAsiaTheme="minorHAnsi" w:hAnsiTheme="minorHAnsi" w:cstheme="minorBidi"/>
          <w:bCs/>
          <w:i/>
          <w:iCs/>
          <w:sz w:val="22"/>
          <w:szCs w:val="22"/>
          <w:lang w:eastAsia="en-US"/>
        </w:rPr>
      </w:pPr>
      <w:r w:rsidRPr="00975120">
        <w:t xml:space="preserve">Table </w:t>
      </w:r>
      <w:r w:rsidR="004B204F">
        <w:t>9</w:t>
      </w:r>
      <w:r w:rsidR="002D39A0">
        <w:t>.</w:t>
      </w:r>
      <w:r w:rsidRPr="00975120">
        <w:t>B.1: Australian Government Investment Funds balances</w:t>
      </w:r>
    </w:p>
    <w:tbl>
      <w:tblPr>
        <w:tblW w:w="5000" w:type="pct"/>
        <w:tblCellMar>
          <w:left w:w="0" w:type="dxa"/>
          <w:right w:w="28" w:type="dxa"/>
        </w:tblCellMar>
        <w:tblLook w:val="04A0" w:firstRow="1" w:lastRow="0" w:firstColumn="1" w:lastColumn="0" w:noHBand="0" w:noVBand="1"/>
      </w:tblPr>
      <w:tblGrid>
        <w:gridCol w:w="2554"/>
        <w:gridCol w:w="1024"/>
        <w:gridCol w:w="1024"/>
        <w:gridCol w:w="1036"/>
        <w:gridCol w:w="1036"/>
        <w:gridCol w:w="1036"/>
      </w:tblGrid>
      <w:tr w:rsidR="000B44B2" w:rsidRPr="000B44B2" w14:paraId="4D2C8D10" w14:textId="77777777" w:rsidTr="000B44B2">
        <w:trPr>
          <w:trHeight w:hRule="exact" w:val="255"/>
        </w:trPr>
        <w:tc>
          <w:tcPr>
            <w:tcW w:w="1656" w:type="pct"/>
            <w:tcBorders>
              <w:top w:val="single" w:sz="4" w:space="0" w:color="000000"/>
              <w:left w:val="nil"/>
              <w:bottom w:val="nil"/>
              <w:right w:val="nil"/>
            </w:tcBorders>
            <w:shd w:val="clear" w:color="000000" w:fill="FFFFFF"/>
            <w:vAlign w:val="center"/>
            <w:hideMark/>
          </w:tcPr>
          <w:p w14:paraId="095CD51E" w14:textId="65467046" w:rsidR="000B44B2" w:rsidRPr="000B44B2" w:rsidRDefault="000B44B2" w:rsidP="000B44B2">
            <w:pPr>
              <w:spacing w:before="0" w:after="0" w:line="240" w:lineRule="auto"/>
              <w:jc w:val="right"/>
              <w:rPr>
                <w:rFonts w:ascii="Arial" w:hAnsi="Arial" w:cs="Arial"/>
                <w:color w:val="000000"/>
                <w:sz w:val="16"/>
                <w:szCs w:val="16"/>
              </w:rPr>
            </w:pPr>
            <w:r w:rsidRPr="000B44B2">
              <w:rPr>
                <w:rFonts w:ascii="Arial" w:hAnsi="Arial" w:cs="Arial"/>
                <w:color w:val="000000"/>
                <w:sz w:val="16"/>
                <w:szCs w:val="16"/>
              </w:rPr>
              <w:t> </w:t>
            </w:r>
          </w:p>
        </w:tc>
        <w:tc>
          <w:tcPr>
            <w:tcW w:w="3344" w:type="pct"/>
            <w:gridSpan w:val="5"/>
            <w:tcBorders>
              <w:top w:val="single" w:sz="4" w:space="0" w:color="000000"/>
              <w:left w:val="nil"/>
              <w:bottom w:val="single" w:sz="4" w:space="0" w:color="000000"/>
              <w:right w:val="nil"/>
            </w:tcBorders>
            <w:shd w:val="clear" w:color="000000" w:fill="FFFFFF"/>
            <w:vAlign w:val="center"/>
            <w:hideMark/>
          </w:tcPr>
          <w:p w14:paraId="49689BC4" w14:textId="77777777" w:rsidR="000B44B2" w:rsidRPr="000B44B2" w:rsidRDefault="000B44B2" w:rsidP="000B44B2">
            <w:pPr>
              <w:spacing w:before="0" w:after="0" w:line="240" w:lineRule="auto"/>
              <w:jc w:val="center"/>
              <w:rPr>
                <w:rFonts w:ascii="Arial" w:hAnsi="Arial" w:cs="Arial"/>
                <w:color w:val="000000"/>
                <w:sz w:val="16"/>
                <w:szCs w:val="16"/>
              </w:rPr>
            </w:pPr>
            <w:r w:rsidRPr="000B44B2">
              <w:rPr>
                <w:rFonts w:ascii="Arial" w:hAnsi="Arial" w:cs="Arial"/>
                <w:color w:val="000000"/>
                <w:sz w:val="16"/>
                <w:szCs w:val="16"/>
              </w:rPr>
              <w:t>Estimates</w:t>
            </w:r>
          </w:p>
        </w:tc>
      </w:tr>
      <w:tr w:rsidR="000B44B2" w:rsidRPr="000B44B2" w14:paraId="5A2CFD28" w14:textId="77777777" w:rsidTr="000B44B2">
        <w:trPr>
          <w:trHeight w:hRule="exact" w:val="230"/>
        </w:trPr>
        <w:tc>
          <w:tcPr>
            <w:tcW w:w="1656" w:type="pct"/>
            <w:tcBorders>
              <w:top w:val="nil"/>
              <w:left w:val="nil"/>
              <w:bottom w:val="nil"/>
              <w:right w:val="nil"/>
            </w:tcBorders>
            <w:shd w:val="clear" w:color="000000" w:fill="FFFFFF"/>
            <w:vAlign w:val="center"/>
            <w:hideMark/>
          </w:tcPr>
          <w:p w14:paraId="412C7701" w14:textId="77777777" w:rsidR="000B44B2" w:rsidRPr="000B44B2" w:rsidRDefault="000B44B2" w:rsidP="000B44B2">
            <w:pPr>
              <w:spacing w:before="0" w:after="0" w:line="240" w:lineRule="auto"/>
              <w:jc w:val="right"/>
              <w:rPr>
                <w:rFonts w:ascii="Arial" w:hAnsi="Arial" w:cs="Arial"/>
                <w:color w:val="000000"/>
                <w:sz w:val="16"/>
                <w:szCs w:val="16"/>
              </w:rPr>
            </w:pPr>
            <w:r w:rsidRPr="000B44B2">
              <w:rPr>
                <w:rFonts w:ascii="Arial" w:hAnsi="Arial" w:cs="Arial"/>
                <w:color w:val="000000"/>
                <w:sz w:val="16"/>
                <w:szCs w:val="16"/>
              </w:rPr>
              <w:t>  </w:t>
            </w:r>
          </w:p>
        </w:tc>
        <w:tc>
          <w:tcPr>
            <w:tcW w:w="664" w:type="pct"/>
            <w:tcBorders>
              <w:top w:val="nil"/>
              <w:left w:val="nil"/>
              <w:bottom w:val="nil"/>
              <w:right w:val="nil"/>
            </w:tcBorders>
            <w:shd w:val="clear" w:color="000000" w:fill="FFFFFF"/>
            <w:vAlign w:val="center"/>
            <w:hideMark/>
          </w:tcPr>
          <w:p w14:paraId="61DE332F" w14:textId="77777777" w:rsidR="000B44B2" w:rsidRPr="000B44B2" w:rsidRDefault="000B44B2" w:rsidP="000B44B2">
            <w:pPr>
              <w:spacing w:before="0" w:after="0" w:line="240" w:lineRule="auto"/>
              <w:jc w:val="right"/>
              <w:rPr>
                <w:rFonts w:ascii="Arial" w:hAnsi="Arial" w:cs="Arial"/>
                <w:color w:val="000000"/>
                <w:sz w:val="16"/>
                <w:szCs w:val="16"/>
              </w:rPr>
            </w:pPr>
            <w:r w:rsidRPr="000B44B2">
              <w:rPr>
                <w:rFonts w:ascii="Arial" w:hAnsi="Arial" w:cs="Arial"/>
                <w:color w:val="000000"/>
                <w:sz w:val="16"/>
                <w:szCs w:val="16"/>
              </w:rPr>
              <w:t>2024-25 </w:t>
            </w:r>
          </w:p>
        </w:tc>
        <w:tc>
          <w:tcPr>
            <w:tcW w:w="664" w:type="pct"/>
            <w:tcBorders>
              <w:top w:val="nil"/>
              <w:left w:val="nil"/>
              <w:bottom w:val="nil"/>
              <w:right w:val="nil"/>
            </w:tcBorders>
            <w:shd w:val="clear" w:color="000000" w:fill="E6F2FF"/>
            <w:vAlign w:val="center"/>
            <w:hideMark/>
          </w:tcPr>
          <w:p w14:paraId="245E7967" w14:textId="77777777" w:rsidR="000B44B2" w:rsidRPr="000B44B2" w:rsidRDefault="000B44B2" w:rsidP="000B44B2">
            <w:pPr>
              <w:spacing w:before="0" w:after="0" w:line="240" w:lineRule="auto"/>
              <w:jc w:val="right"/>
              <w:rPr>
                <w:rFonts w:ascii="Arial" w:hAnsi="Arial" w:cs="Arial"/>
                <w:color w:val="000000"/>
                <w:sz w:val="16"/>
                <w:szCs w:val="16"/>
              </w:rPr>
            </w:pPr>
            <w:r w:rsidRPr="000B44B2">
              <w:rPr>
                <w:rFonts w:ascii="Arial" w:hAnsi="Arial" w:cs="Arial"/>
                <w:color w:val="000000"/>
                <w:sz w:val="16"/>
                <w:szCs w:val="16"/>
              </w:rPr>
              <w:t>2025-26 </w:t>
            </w:r>
          </w:p>
        </w:tc>
        <w:tc>
          <w:tcPr>
            <w:tcW w:w="672" w:type="pct"/>
            <w:tcBorders>
              <w:top w:val="nil"/>
              <w:left w:val="nil"/>
              <w:bottom w:val="nil"/>
              <w:right w:val="nil"/>
            </w:tcBorders>
            <w:shd w:val="clear" w:color="000000" w:fill="FFFFFF"/>
            <w:vAlign w:val="center"/>
            <w:hideMark/>
          </w:tcPr>
          <w:p w14:paraId="57642A66" w14:textId="77777777" w:rsidR="000B44B2" w:rsidRPr="000B44B2" w:rsidRDefault="000B44B2" w:rsidP="000B44B2">
            <w:pPr>
              <w:spacing w:before="0" w:after="0" w:line="240" w:lineRule="auto"/>
              <w:jc w:val="right"/>
              <w:rPr>
                <w:rFonts w:ascii="Arial" w:hAnsi="Arial" w:cs="Arial"/>
                <w:color w:val="000000"/>
                <w:sz w:val="16"/>
                <w:szCs w:val="16"/>
              </w:rPr>
            </w:pPr>
            <w:r w:rsidRPr="000B44B2">
              <w:rPr>
                <w:rFonts w:ascii="Arial" w:hAnsi="Arial" w:cs="Arial"/>
                <w:color w:val="000000"/>
                <w:sz w:val="16"/>
                <w:szCs w:val="16"/>
              </w:rPr>
              <w:t>2026-27 </w:t>
            </w:r>
          </w:p>
        </w:tc>
        <w:tc>
          <w:tcPr>
            <w:tcW w:w="672" w:type="pct"/>
            <w:tcBorders>
              <w:top w:val="nil"/>
              <w:left w:val="nil"/>
              <w:bottom w:val="nil"/>
              <w:right w:val="nil"/>
            </w:tcBorders>
            <w:shd w:val="clear" w:color="000000" w:fill="FFFFFF"/>
            <w:vAlign w:val="center"/>
            <w:hideMark/>
          </w:tcPr>
          <w:p w14:paraId="38BB7DEC" w14:textId="77777777" w:rsidR="000B44B2" w:rsidRPr="000B44B2" w:rsidRDefault="000B44B2" w:rsidP="000B44B2">
            <w:pPr>
              <w:spacing w:before="0" w:after="0" w:line="240" w:lineRule="auto"/>
              <w:jc w:val="right"/>
              <w:rPr>
                <w:rFonts w:ascii="Arial" w:hAnsi="Arial" w:cs="Arial"/>
                <w:color w:val="000000"/>
                <w:sz w:val="16"/>
                <w:szCs w:val="16"/>
              </w:rPr>
            </w:pPr>
            <w:r w:rsidRPr="000B44B2">
              <w:rPr>
                <w:rFonts w:ascii="Arial" w:hAnsi="Arial" w:cs="Arial"/>
                <w:color w:val="000000"/>
                <w:sz w:val="16"/>
                <w:szCs w:val="16"/>
              </w:rPr>
              <w:t>2027-28</w:t>
            </w:r>
          </w:p>
        </w:tc>
        <w:tc>
          <w:tcPr>
            <w:tcW w:w="672" w:type="pct"/>
            <w:tcBorders>
              <w:top w:val="nil"/>
              <w:left w:val="nil"/>
              <w:bottom w:val="nil"/>
              <w:right w:val="nil"/>
            </w:tcBorders>
            <w:shd w:val="clear" w:color="000000" w:fill="FFFFFF"/>
            <w:vAlign w:val="center"/>
            <w:hideMark/>
          </w:tcPr>
          <w:p w14:paraId="0BDA8BAC" w14:textId="77777777" w:rsidR="000B44B2" w:rsidRPr="000B44B2" w:rsidRDefault="000B44B2" w:rsidP="000B44B2">
            <w:pPr>
              <w:spacing w:before="0" w:after="0" w:line="240" w:lineRule="auto"/>
              <w:jc w:val="right"/>
              <w:rPr>
                <w:rFonts w:ascii="Arial" w:hAnsi="Arial" w:cs="Arial"/>
                <w:color w:val="000000"/>
                <w:sz w:val="16"/>
                <w:szCs w:val="16"/>
              </w:rPr>
            </w:pPr>
            <w:r w:rsidRPr="000B44B2">
              <w:rPr>
                <w:rFonts w:ascii="Arial" w:hAnsi="Arial" w:cs="Arial"/>
                <w:color w:val="000000"/>
                <w:sz w:val="16"/>
                <w:szCs w:val="16"/>
              </w:rPr>
              <w:t>2028-29</w:t>
            </w:r>
          </w:p>
        </w:tc>
      </w:tr>
      <w:tr w:rsidR="000B44B2" w:rsidRPr="000B44B2" w14:paraId="6CE81705" w14:textId="77777777" w:rsidTr="000B44B2">
        <w:trPr>
          <w:trHeight w:hRule="exact" w:val="230"/>
        </w:trPr>
        <w:tc>
          <w:tcPr>
            <w:tcW w:w="1656" w:type="pct"/>
            <w:tcBorders>
              <w:top w:val="nil"/>
              <w:left w:val="nil"/>
              <w:bottom w:val="nil"/>
              <w:right w:val="nil"/>
            </w:tcBorders>
            <w:shd w:val="clear" w:color="000000" w:fill="FFFFFF"/>
            <w:vAlign w:val="center"/>
            <w:hideMark/>
          </w:tcPr>
          <w:p w14:paraId="0AF8BFCD" w14:textId="77777777" w:rsidR="000B44B2" w:rsidRPr="000B44B2" w:rsidRDefault="000B44B2" w:rsidP="000B44B2">
            <w:pPr>
              <w:spacing w:before="0" w:after="0" w:line="240" w:lineRule="auto"/>
              <w:rPr>
                <w:rFonts w:ascii="Arial" w:hAnsi="Arial" w:cs="Arial"/>
                <w:color w:val="000000"/>
                <w:sz w:val="16"/>
                <w:szCs w:val="16"/>
              </w:rPr>
            </w:pPr>
            <w:r w:rsidRPr="000B44B2">
              <w:rPr>
                <w:rFonts w:ascii="Arial" w:hAnsi="Arial" w:cs="Arial"/>
                <w:color w:val="000000"/>
                <w:sz w:val="16"/>
                <w:szCs w:val="16"/>
              </w:rPr>
              <w:t>  </w:t>
            </w:r>
          </w:p>
        </w:tc>
        <w:tc>
          <w:tcPr>
            <w:tcW w:w="664" w:type="pct"/>
            <w:tcBorders>
              <w:top w:val="nil"/>
              <w:left w:val="nil"/>
              <w:bottom w:val="single" w:sz="4" w:space="0" w:color="000000"/>
              <w:right w:val="nil"/>
            </w:tcBorders>
            <w:shd w:val="clear" w:color="000000" w:fill="FFFFFF"/>
            <w:vAlign w:val="center"/>
            <w:hideMark/>
          </w:tcPr>
          <w:p w14:paraId="03E2CDE7" w14:textId="77777777" w:rsidR="000B44B2" w:rsidRPr="000B44B2" w:rsidRDefault="000B44B2" w:rsidP="000B44B2">
            <w:pPr>
              <w:spacing w:before="0" w:after="0" w:line="240" w:lineRule="auto"/>
              <w:jc w:val="right"/>
              <w:rPr>
                <w:rFonts w:ascii="Arial" w:hAnsi="Arial" w:cs="Arial"/>
                <w:color w:val="000000"/>
                <w:sz w:val="16"/>
                <w:szCs w:val="16"/>
              </w:rPr>
            </w:pPr>
            <w:r w:rsidRPr="000B44B2">
              <w:rPr>
                <w:rFonts w:ascii="Arial" w:hAnsi="Arial" w:cs="Arial"/>
                <w:color w:val="000000"/>
                <w:sz w:val="16"/>
                <w:szCs w:val="16"/>
              </w:rPr>
              <w:t>$m </w:t>
            </w:r>
          </w:p>
        </w:tc>
        <w:tc>
          <w:tcPr>
            <w:tcW w:w="664" w:type="pct"/>
            <w:tcBorders>
              <w:top w:val="nil"/>
              <w:left w:val="nil"/>
              <w:bottom w:val="single" w:sz="4" w:space="0" w:color="000000"/>
              <w:right w:val="nil"/>
            </w:tcBorders>
            <w:shd w:val="clear" w:color="000000" w:fill="E6F2FF"/>
            <w:vAlign w:val="center"/>
            <w:hideMark/>
          </w:tcPr>
          <w:p w14:paraId="2F01D3C3" w14:textId="77777777" w:rsidR="000B44B2" w:rsidRPr="000B44B2" w:rsidRDefault="000B44B2" w:rsidP="000B44B2">
            <w:pPr>
              <w:spacing w:before="0" w:after="0" w:line="240" w:lineRule="auto"/>
              <w:jc w:val="right"/>
              <w:rPr>
                <w:rFonts w:ascii="Arial" w:hAnsi="Arial" w:cs="Arial"/>
                <w:color w:val="000000"/>
                <w:sz w:val="16"/>
                <w:szCs w:val="16"/>
              </w:rPr>
            </w:pPr>
            <w:r w:rsidRPr="000B44B2">
              <w:rPr>
                <w:rFonts w:ascii="Arial" w:hAnsi="Arial" w:cs="Arial"/>
                <w:color w:val="000000"/>
                <w:sz w:val="16"/>
                <w:szCs w:val="16"/>
              </w:rPr>
              <w:t>$m </w:t>
            </w:r>
          </w:p>
        </w:tc>
        <w:tc>
          <w:tcPr>
            <w:tcW w:w="672" w:type="pct"/>
            <w:tcBorders>
              <w:top w:val="nil"/>
              <w:left w:val="nil"/>
              <w:bottom w:val="single" w:sz="4" w:space="0" w:color="000000"/>
              <w:right w:val="nil"/>
            </w:tcBorders>
            <w:shd w:val="clear" w:color="000000" w:fill="FFFFFF"/>
            <w:noWrap/>
            <w:vAlign w:val="bottom"/>
            <w:hideMark/>
          </w:tcPr>
          <w:p w14:paraId="7425A632" w14:textId="77777777" w:rsidR="000B44B2" w:rsidRPr="000B44B2" w:rsidRDefault="000B44B2" w:rsidP="000B44B2">
            <w:pPr>
              <w:spacing w:before="0" w:after="0" w:line="240" w:lineRule="auto"/>
              <w:jc w:val="right"/>
              <w:rPr>
                <w:rFonts w:ascii="Arial" w:hAnsi="Arial" w:cs="Arial"/>
                <w:sz w:val="16"/>
                <w:szCs w:val="16"/>
              </w:rPr>
            </w:pPr>
            <w:r w:rsidRPr="000B44B2">
              <w:rPr>
                <w:rFonts w:ascii="Arial" w:hAnsi="Arial" w:cs="Arial"/>
                <w:sz w:val="16"/>
                <w:szCs w:val="16"/>
              </w:rPr>
              <w:t>$m </w:t>
            </w:r>
          </w:p>
        </w:tc>
        <w:tc>
          <w:tcPr>
            <w:tcW w:w="672" w:type="pct"/>
            <w:tcBorders>
              <w:top w:val="nil"/>
              <w:left w:val="nil"/>
              <w:bottom w:val="single" w:sz="4" w:space="0" w:color="000000"/>
              <w:right w:val="nil"/>
            </w:tcBorders>
            <w:shd w:val="clear" w:color="000000" w:fill="FFFFFF"/>
            <w:noWrap/>
            <w:vAlign w:val="bottom"/>
            <w:hideMark/>
          </w:tcPr>
          <w:p w14:paraId="6365BB81" w14:textId="77777777" w:rsidR="000B44B2" w:rsidRPr="000B44B2" w:rsidRDefault="000B44B2" w:rsidP="000B44B2">
            <w:pPr>
              <w:spacing w:before="0" w:after="0" w:line="240" w:lineRule="auto"/>
              <w:jc w:val="right"/>
              <w:rPr>
                <w:rFonts w:ascii="Arial" w:hAnsi="Arial" w:cs="Arial"/>
                <w:sz w:val="16"/>
                <w:szCs w:val="16"/>
              </w:rPr>
            </w:pPr>
            <w:r w:rsidRPr="000B44B2">
              <w:rPr>
                <w:rFonts w:ascii="Arial" w:hAnsi="Arial" w:cs="Arial"/>
                <w:sz w:val="16"/>
                <w:szCs w:val="16"/>
              </w:rPr>
              <w:t>$m </w:t>
            </w:r>
          </w:p>
        </w:tc>
        <w:tc>
          <w:tcPr>
            <w:tcW w:w="672" w:type="pct"/>
            <w:tcBorders>
              <w:top w:val="nil"/>
              <w:left w:val="nil"/>
              <w:bottom w:val="single" w:sz="4" w:space="0" w:color="000000"/>
              <w:right w:val="nil"/>
            </w:tcBorders>
            <w:shd w:val="clear" w:color="000000" w:fill="FFFFFF"/>
            <w:noWrap/>
            <w:vAlign w:val="bottom"/>
            <w:hideMark/>
          </w:tcPr>
          <w:p w14:paraId="50D74111" w14:textId="77777777" w:rsidR="000B44B2" w:rsidRPr="000B44B2" w:rsidRDefault="000B44B2" w:rsidP="000B44B2">
            <w:pPr>
              <w:spacing w:before="0" w:after="0" w:line="240" w:lineRule="auto"/>
              <w:jc w:val="right"/>
              <w:rPr>
                <w:rFonts w:ascii="Arial" w:hAnsi="Arial" w:cs="Arial"/>
                <w:sz w:val="16"/>
                <w:szCs w:val="16"/>
              </w:rPr>
            </w:pPr>
            <w:r w:rsidRPr="000B44B2">
              <w:rPr>
                <w:rFonts w:ascii="Arial" w:hAnsi="Arial" w:cs="Arial"/>
                <w:sz w:val="16"/>
                <w:szCs w:val="16"/>
              </w:rPr>
              <w:t>$m </w:t>
            </w:r>
          </w:p>
        </w:tc>
      </w:tr>
      <w:tr w:rsidR="000B44B2" w:rsidRPr="000B44B2" w14:paraId="19AC05DA" w14:textId="77777777" w:rsidTr="000B44B2">
        <w:trPr>
          <w:trHeight w:hRule="exact" w:val="230"/>
        </w:trPr>
        <w:tc>
          <w:tcPr>
            <w:tcW w:w="1656" w:type="pct"/>
            <w:tcBorders>
              <w:top w:val="nil"/>
              <w:left w:val="nil"/>
              <w:bottom w:val="nil"/>
              <w:right w:val="nil"/>
            </w:tcBorders>
            <w:shd w:val="clear" w:color="000000" w:fill="FFFFFF"/>
            <w:vAlign w:val="center"/>
            <w:hideMark/>
          </w:tcPr>
          <w:p w14:paraId="1EC7FF99" w14:textId="77777777" w:rsidR="000B44B2" w:rsidRPr="000B44B2" w:rsidRDefault="000B44B2" w:rsidP="000B44B2">
            <w:pPr>
              <w:spacing w:before="0" w:after="0" w:line="240" w:lineRule="auto"/>
              <w:rPr>
                <w:rFonts w:ascii="Arial" w:hAnsi="Arial" w:cs="Arial"/>
                <w:color w:val="000000"/>
                <w:sz w:val="16"/>
                <w:szCs w:val="16"/>
              </w:rPr>
            </w:pPr>
            <w:r w:rsidRPr="000B44B2">
              <w:rPr>
                <w:rFonts w:ascii="Arial" w:hAnsi="Arial" w:cs="Arial"/>
                <w:color w:val="000000"/>
                <w:sz w:val="16"/>
                <w:szCs w:val="16"/>
              </w:rPr>
              <w:t>Future Fund </w:t>
            </w:r>
          </w:p>
        </w:tc>
        <w:tc>
          <w:tcPr>
            <w:tcW w:w="664" w:type="pct"/>
            <w:tcBorders>
              <w:top w:val="nil"/>
              <w:left w:val="nil"/>
              <w:bottom w:val="nil"/>
              <w:right w:val="nil"/>
            </w:tcBorders>
            <w:shd w:val="clear" w:color="000000" w:fill="FFFFFF"/>
            <w:vAlign w:val="bottom"/>
            <w:hideMark/>
          </w:tcPr>
          <w:p w14:paraId="79A54FE5" w14:textId="77777777" w:rsidR="000B44B2" w:rsidRPr="000B44B2" w:rsidRDefault="000B44B2" w:rsidP="000B44B2">
            <w:pPr>
              <w:spacing w:before="0" w:after="0" w:line="240" w:lineRule="auto"/>
              <w:jc w:val="right"/>
              <w:rPr>
                <w:rFonts w:ascii="Arial" w:hAnsi="Arial" w:cs="Arial"/>
                <w:sz w:val="16"/>
                <w:szCs w:val="16"/>
              </w:rPr>
            </w:pPr>
            <w:r w:rsidRPr="000B44B2">
              <w:rPr>
                <w:rFonts w:ascii="Arial" w:hAnsi="Arial" w:cs="Arial"/>
                <w:sz w:val="16"/>
                <w:szCs w:val="16"/>
              </w:rPr>
              <w:t>245,786</w:t>
            </w:r>
          </w:p>
        </w:tc>
        <w:tc>
          <w:tcPr>
            <w:tcW w:w="664" w:type="pct"/>
            <w:tcBorders>
              <w:top w:val="nil"/>
              <w:left w:val="nil"/>
              <w:bottom w:val="nil"/>
              <w:right w:val="nil"/>
            </w:tcBorders>
            <w:shd w:val="clear" w:color="000000" w:fill="E6F2FF"/>
            <w:vAlign w:val="bottom"/>
            <w:hideMark/>
          </w:tcPr>
          <w:p w14:paraId="55F6F0B0" w14:textId="77777777" w:rsidR="000B44B2" w:rsidRPr="000B44B2" w:rsidRDefault="000B44B2" w:rsidP="000B44B2">
            <w:pPr>
              <w:spacing w:before="0" w:after="0" w:line="240" w:lineRule="auto"/>
              <w:jc w:val="right"/>
              <w:rPr>
                <w:rFonts w:ascii="Arial" w:hAnsi="Arial" w:cs="Arial"/>
                <w:sz w:val="16"/>
                <w:szCs w:val="16"/>
              </w:rPr>
            </w:pPr>
            <w:r w:rsidRPr="000B44B2">
              <w:rPr>
                <w:rFonts w:ascii="Arial" w:hAnsi="Arial" w:cs="Arial"/>
                <w:sz w:val="16"/>
                <w:szCs w:val="16"/>
              </w:rPr>
              <w:t>262,490</w:t>
            </w:r>
          </w:p>
        </w:tc>
        <w:tc>
          <w:tcPr>
            <w:tcW w:w="672" w:type="pct"/>
            <w:tcBorders>
              <w:top w:val="nil"/>
              <w:left w:val="nil"/>
              <w:bottom w:val="nil"/>
              <w:right w:val="nil"/>
            </w:tcBorders>
            <w:shd w:val="clear" w:color="000000" w:fill="FFFFFF"/>
            <w:vAlign w:val="bottom"/>
            <w:hideMark/>
          </w:tcPr>
          <w:p w14:paraId="7D7C6A5F" w14:textId="77777777" w:rsidR="000B44B2" w:rsidRPr="000B44B2" w:rsidRDefault="000B44B2" w:rsidP="000B44B2">
            <w:pPr>
              <w:spacing w:before="0" w:after="0" w:line="240" w:lineRule="auto"/>
              <w:jc w:val="right"/>
              <w:rPr>
                <w:rFonts w:ascii="Arial" w:hAnsi="Arial" w:cs="Arial"/>
                <w:sz w:val="16"/>
                <w:szCs w:val="16"/>
              </w:rPr>
            </w:pPr>
            <w:r w:rsidRPr="000B44B2">
              <w:rPr>
                <w:rFonts w:ascii="Arial" w:hAnsi="Arial" w:cs="Arial"/>
                <w:sz w:val="16"/>
                <w:szCs w:val="16"/>
              </w:rPr>
              <w:t>280,329</w:t>
            </w:r>
          </w:p>
        </w:tc>
        <w:tc>
          <w:tcPr>
            <w:tcW w:w="672" w:type="pct"/>
            <w:tcBorders>
              <w:top w:val="nil"/>
              <w:left w:val="nil"/>
              <w:bottom w:val="nil"/>
              <w:right w:val="nil"/>
            </w:tcBorders>
            <w:shd w:val="clear" w:color="000000" w:fill="FFFFFF"/>
            <w:vAlign w:val="bottom"/>
            <w:hideMark/>
          </w:tcPr>
          <w:p w14:paraId="2909C7EF" w14:textId="77777777" w:rsidR="000B44B2" w:rsidRPr="000B44B2" w:rsidRDefault="000B44B2" w:rsidP="000B44B2">
            <w:pPr>
              <w:spacing w:before="0" w:after="0" w:line="240" w:lineRule="auto"/>
              <w:jc w:val="right"/>
              <w:rPr>
                <w:rFonts w:ascii="Arial" w:hAnsi="Arial" w:cs="Arial"/>
                <w:sz w:val="16"/>
                <w:szCs w:val="16"/>
              </w:rPr>
            </w:pPr>
            <w:r w:rsidRPr="000B44B2">
              <w:rPr>
                <w:rFonts w:ascii="Arial" w:hAnsi="Arial" w:cs="Arial"/>
                <w:sz w:val="16"/>
                <w:szCs w:val="16"/>
              </w:rPr>
              <w:t>299,408</w:t>
            </w:r>
          </w:p>
        </w:tc>
        <w:tc>
          <w:tcPr>
            <w:tcW w:w="672" w:type="pct"/>
            <w:tcBorders>
              <w:top w:val="nil"/>
              <w:left w:val="nil"/>
              <w:bottom w:val="nil"/>
              <w:right w:val="nil"/>
            </w:tcBorders>
            <w:shd w:val="clear" w:color="000000" w:fill="FFFFFF"/>
            <w:vAlign w:val="bottom"/>
            <w:hideMark/>
          </w:tcPr>
          <w:p w14:paraId="7747D464" w14:textId="77777777" w:rsidR="000B44B2" w:rsidRPr="000B44B2" w:rsidRDefault="000B44B2" w:rsidP="000B44B2">
            <w:pPr>
              <w:spacing w:before="0" w:after="0" w:line="240" w:lineRule="auto"/>
              <w:jc w:val="right"/>
              <w:rPr>
                <w:rFonts w:ascii="Arial" w:hAnsi="Arial" w:cs="Arial"/>
                <w:sz w:val="16"/>
                <w:szCs w:val="16"/>
              </w:rPr>
            </w:pPr>
            <w:r w:rsidRPr="000B44B2">
              <w:rPr>
                <w:rFonts w:ascii="Arial" w:hAnsi="Arial" w:cs="Arial"/>
                <w:sz w:val="16"/>
                <w:szCs w:val="16"/>
              </w:rPr>
              <w:t>319,789</w:t>
            </w:r>
          </w:p>
        </w:tc>
      </w:tr>
      <w:tr w:rsidR="000B44B2" w:rsidRPr="000B44B2" w14:paraId="69FA5526" w14:textId="77777777" w:rsidTr="000B44B2">
        <w:trPr>
          <w:trHeight w:hRule="exact" w:val="230"/>
        </w:trPr>
        <w:tc>
          <w:tcPr>
            <w:tcW w:w="1656" w:type="pct"/>
            <w:tcBorders>
              <w:top w:val="nil"/>
              <w:left w:val="nil"/>
              <w:bottom w:val="nil"/>
              <w:right w:val="nil"/>
            </w:tcBorders>
            <w:shd w:val="clear" w:color="000000" w:fill="FFFFFF"/>
            <w:vAlign w:val="center"/>
            <w:hideMark/>
          </w:tcPr>
          <w:p w14:paraId="77694A0B" w14:textId="77777777" w:rsidR="000B44B2" w:rsidRPr="000B44B2" w:rsidRDefault="000B44B2" w:rsidP="000B44B2">
            <w:pPr>
              <w:spacing w:before="0" w:after="0" w:line="240" w:lineRule="auto"/>
              <w:rPr>
                <w:rFonts w:ascii="Arial" w:hAnsi="Arial" w:cs="Arial"/>
                <w:color w:val="000000"/>
                <w:sz w:val="16"/>
                <w:szCs w:val="16"/>
              </w:rPr>
            </w:pPr>
            <w:proofErr w:type="spellStart"/>
            <w:r w:rsidRPr="000B44B2">
              <w:rPr>
                <w:rFonts w:ascii="Arial" w:hAnsi="Arial" w:cs="Arial"/>
                <w:color w:val="000000"/>
                <w:sz w:val="16"/>
                <w:szCs w:val="16"/>
              </w:rPr>
              <w:t>DisabilityCare</w:t>
            </w:r>
            <w:proofErr w:type="spellEnd"/>
            <w:r w:rsidRPr="000B44B2">
              <w:rPr>
                <w:rFonts w:ascii="Arial" w:hAnsi="Arial" w:cs="Arial"/>
                <w:color w:val="000000"/>
                <w:sz w:val="16"/>
                <w:szCs w:val="16"/>
              </w:rPr>
              <w:t xml:space="preserve"> Australia Fund </w:t>
            </w:r>
          </w:p>
        </w:tc>
        <w:tc>
          <w:tcPr>
            <w:tcW w:w="664" w:type="pct"/>
            <w:tcBorders>
              <w:top w:val="nil"/>
              <w:left w:val="nil"/>
              <w:bottom w:val="nil"/>
              <w:right w:val="nil"/>
            </w:tcBorders>
            <w:shd w:val="clear" w:color="000000" w:fill="FFFFFF"/>
            <w:vAlign w:val="bottom"/>
            <w:hideMark/>
          </w:tcPr>
          <w:p w14:paraId="1D4A7DA3" w14:textId="77777777" w:rsidR="000B44B2" w:rsidRPr="000B44B2" w:rsidRDefault="000B44B2" w:rsidP="000B44B2">
            <w:pPr>
              <w:spacing w:before="0" w:after="0" w:line="240" w:lineRule="auto"/>
              <w:jc w:val="right"/>
              <w:rPr>
                <w:rFonts w:ascii="Arial" w:hAnsi="Arial" w:cs="Arial"/>
                <w:sz w:val="16"/>
                <w:szCs w:val="16"/>
              </w:rPr>
            </w:pPr>
            <w:r w:rsidRPr="000B44B2">
              <w:rPr>
                <w:rFonts w:ascii="Arial" w:hAnsi="Arial" w:cs="Arial"/>
                <w:sz w:val="16"/>
                <w:szCs w:val="16"/>
              </w:rPr>
              <w:t>16,065</w:t>
            </w:r>
          </w:p>
        </w:tc>
        <w:tc>
          <w:tcPr>
            <w:tcW w:w="664" w:type="pct"/>
            <w:tcBorders>
              <w:top w:val="nil"/>
              <w:left w:val="nil"/>
              <w:bottom w:val="nil"/>
              <w:right w:val="nil"/>
            </w:tcBorders>
            <w:shd w:val="clear" w:color="000000" w:fill="E6F2FF"/>
            <w:vAlign w:val="bottom"/>
            <w:hideMark/>
          </w:tcPr>
          <w:p w14:paraId="4DC29095" w14:textId="77777777" w:rsidR="000B44B2" w:rsidRPr="000B44B2" w:rsidRDefault="000B44B2" w:rsidP="000B44B2">
            <w:pPr>
              <w:spacing w:before="0" w:after="0" w:line="240" w:lineRule="auto"/>
              <w:jc w:val="right"/>
              <w:rPr>
                <w:rFonts w:ascii="Arial" w:hAnsi="Arial" w:cs="Arial"/>
                <w:sz w:val="16"/>
                <w:szCs w:val="16"/>
              </w:rPr>
            </w:pPr>
            <w:r w:rsidRPr="000B44B2">
              <w:rPr>
                <w:rFonts w:ascii="Arial" w:hAnsi="Arial" w:cs="Arial"/>
                <w:sz w:val="16"/>
                <w:szCs w:val="16"/>
              </w:rPr>
              <w:t>12,797</w:t>
            </w:r>
          </w:p>
        </w:tc>
        <w:tc>
          <w:tcPr>
            <w:tcW w:w="672" w:type="pct"/>
            <w:tcBorders>
              <w:top w:val="nil"/>
              <w:left w:val="nil"/>
              <w:bottom w:val="nil"/>
              <w:right w:val="nil"/>
            </w:tcBorders>
            <w:shd w:val="clear" w:color="000000" w:fill="FFFFFF"/>
            <w:vAlign w:val="bottom"/>
            <w:hideMark/>
          </w:tcPr>
          <w:p w14:paraId="3C319113" w14:textId="77777777" w:rsidR="000B44B2" w:rsidRPr="000B44B2" w:rsidRDefault="000B44B2" w:rsidP="000B44B2">
            <w:pPr>
              <w:spacing w:before="0" w:after="0" w:line="240" w:lineRule="auto"/>
              <w:jc w:val="right"/>
              <w:rPr>
                <w:rFonts w:ascii="Arial" w:hAnsi="Arial" w:cs="Arial"/>
                <w:sz w:val="16"/>
                <w:szCs w:val="16"/>
              </w:rPr>
            </w:pPr>
            <w:r w:rsidRPr="000B44B2">
              <w:rPr>
                <w:rFonts w:ascii="Arial" w:hAnsi="Arial" w:cs="Arial"/>
                <w:sz w:val="16"/>
                <w:szCs w:val="16"/>
              </w:rPr>
              <w:t>9,378</w:t>
            </w:r>
          </w:p>
        </w:tc>
        <w:tc>
          <w:tcPr>
            <w:tcW w:w="672" w:type="pct"/>
            <w:tcBorders>
              <w:top w:val="nil"/>
              <w:left w:val="nil"/>
              <w:bottom w:val="nil"/>
              <w:right w:val="nil"/>
            </w:tcBorders>
            <w:shd w:val="clear" w:color="000000" w:fill="FFFFFF"/>
            <w:vAlign w:val="bottom"/>
            <w:hideMark/>
          </w:tcPr>
          <w:p w14:paraId="549763C9" w14:textId="77777777" w:rsidR="000B44B2" w:rsidRPr="000B44B2" w:rsidRDefault="000B44B2" w:rsidP="000B44B2">
            <w:pPr>
              <w:spacing w:before="0" w:after="0" w:line="240" w:lineRule="auto"/>
              <w:jc w:val="right"/>
              <w:rPr>
                <w:rFonts w:ascii="Arial" w:hAnsi="Arial" w:cs="Arial"/>
                <w:sz w:val="16"/>
                <w:szCs w:val="16"/>
              </w:rPr>
            </w:pPr>
            <w:r w:rsidRPr="000B44B2">
              <w:rPr>
                <w:rFonts w:ascii="Arial" w:hAnsi="Arial" w:cs="Arial"/>
                <w:sz w:val="16"/>
                <w:szCs w:val="16"/>
              </w:rPr>
              <w:t>5,800</w:t>
            </w:r>
          </w:p>
        </w:tc>
        <w:tc>
          <w:tcPr>
            <w:tcW w:w="672" w:type="pct"/>
            <w:tcBorders>
              <w:top w:val="nil"/>
              <w:left w:val="nil"/>
              <w:bottom w:val="nil"/>
              <w:right w:val="nil"/>
            </w:tcBorders>
            <w:shd w:val="clear" w:color="000000" w:fill="FFFFFF"/>
            <w:vAlign w:val="bottom"/>
            <w:hideMark/>
          </w:tcPr>
          <w:p w14:paraId="4EDC06B6" w14:textId="77777777" w:rsidR="000B44B2" w:rsidRPr="000B44B2" w:rsidRDefault="000B44B2" w:rsidP="000B44B2">
            <w:pPr>
              <w:spacing w:before="0" w:after="0" w:line="240" w:lineRule="auto"/>
              <w:jc w:val="right"/>
              <w:rPr>
                <w:rFonts w:ascii="Arial" w:hAnsi="Arial" w:cs="Arial"/>
                <w:sz w:val="16"/>
                <w:szCs w:val="16"/>
              </w:rPr>
            </w:pPr>
            <w:r w:rsidRPr="000B44B2">
              <w:rPr>
                <w:rFonts w:ascii="Arial" w:hAnsi="Arial" w:cs="Arial"/>
                <w:sz w:val="16"/>
                <w:szCs w:val="16"/>
              </w:rPr>
              <w:t>2,055</w:t>
            </w:r>
          </w:p>
        </w:tc>
      </w:tr>
      <w:tr w:rsidR="000B44B2" w:rsidRPr="000B44B2" w14:paraId="152E7004" w14:textId="77777777" w:rsidTr="000B44B2">
        <w:trPr>
          <w:trHeight w:hRule="exact" w:val="230"/>
        </w:trPr>
        <w:tc>
          <w:tcPr>
            <w:tcW w:w="1656" w:type="pct"/>
            <w:tcBorders>
              <w:top w:val="nil"/>
              <w:left w:val="nil"/>
              <w:bottom w:val="nil"/>
              <w:right w:val="nil"/>
            </w:tcBorders>
            <w:shd w:val="clear" w:color="000000" w:fill="FFFFFF"/>
            <w:vAlign w:val="center"/>
            <w:hideMark/>
          </w:tcPr>
          <w:p w14:paraId="43A17543" w14:textId="77777777" w:rsidR="000B44B2" w:rsidRPr="000B44B2" w:rsidRDefault="000B44B2" w:rsidP="000B44B2">
            <w:pPr>
              <w:spacing w:before="0" w:after="0" w:line="240" w:lineRule="auto"/>
              <w:rPr>
                <w:rFonts w:ascii="Arial" w:hAnsi="Arial" w:cs="Arial"/>
                <w:color w:val="000000"/>
                <w:sz w:val="16"/>
                <w:szCs w:val="16"/>
              </w:rPr>
            </w:pPr>
            <w:r w:rsidRPr="000B44B2">
              <w:rPr>
                <w:rFonts w:ascii="Arial" w:hAnsi="Arial" w:cs="Arial"/>
                <w:color w:val="000000"/>
                <w:sz w:val="16"/>
                <w:szCs w:val="16"/>
              </w:rPr>
              <w:t>Medical Research Future Fund </w:t>
            </w:r>
          </w:p>
        </w:tc>
        <w:tc>
          <w:tcPr>
            <w:tcW w:w="664" w:type="pct"/>
            <w:tcBorders>
              <w:top w:val="nil"/>
              <w:left w:val="nil"/>
              <w:bottom w:val="nil"/>
              <w:right w:val="nil"/>
            </w:tcBorders>
            <w:shd w:val="clear" w:color="000000" w:fill="FFFFFF"/>
            <w:vAlign w:val="bottom"/>
            <w:hideMark/>
          </w:tcPr>
          <w:p w14:paraId="241C58BE" w14:textId="77777777" w:rsidR="000B44B2" w:rsidRPr="000B44B2" w:rsidRDefault="000B44B2" w:rsidP="000B44B2">
            <w:pPr>
              <w:spacing w:before="0" w:after="0" w:line="240" w:lineRule="auto"/>
              <w:jc w:val="right"/>
              <w:rPr>
                <w:rFonts w:ascii="Arial" w:hAnsi="Arial" w:cs="Arial"/>
                <w:sz w:val="16"/>
                <w:szCs w:val="16"/>
              </w:rPr>
            </w:pPr>
            <w:r w:rsidRPr="000B44B2">
              <w:rPr>
                <w:rFonts w:ascii="Arial" w:hAnsi="Arial" w:cs="Arial"/>
                <w:sz w:val="16"/>
                <w:szCs w:val="16"/>
              </w:rPr>
              <w:t>24,088</w:t>
            </w:r>
          </w:p>
        </w:tc>
        <w:tc>
          <w:tcPr>
            <w:tcW w:w="664" w:type="pct"/>
            <w:tcBorders>
              <w:top w:val="nil"/>
              <w:left w:val="nil"/>
              <w:bottom w:val="nil"/>
              <w:right w:val="nil"/>
            </w:tcBorders>
            <w:shd w:val="clear" w:color="000000" w:fill="E6F2FF"/>
            <w:vAlign w:val="bottom"/>
            <w:hideMark/>
          </w:tcPr>
          <w:p w14:paraId="6E853CD9" w14:textId="77777777" w:rsidR="000B44B2" w:rsidRPr="000B44B2" w:rsidRDefault="000B44B2" w:rsidP="000B44B2">
            <w:pPr>
              <w:spacing w:before="0" w:after="0" w:line="240" w:lineRule="auto"/>
              <w:jc w:val="right"/>
              <w:rPr>
                <w:rFonts w:ascii="Arial" w:hAnsi="Arial" w:cs="Arial"/>
                <w:sz w:val="16"/>
                <w:szCs w:val="16"/>
              </w:rPr>
            </w:pPr>
            <w:r w:rsidRPr="000B44B2">
              <w:rPr>
                <w:rFonts w:ascii="Arial" w:hAnsi="Arial" w:cs="Arial"/>
                <w:sz w:val="16"/>
                <w:szCs w:val="16"/>
              </w:rPr>
              <w:t>24,743</w:t>
            </w:r>
          </w:p>
        </w:tc>
        <w:tc>
          <w:tcPr>
            <w:tcW w:w="672" w:type="pct"/>
            <w:tcBorders>
              <w:top w:val="nil"/>
              <w:left w:val="nil"/>
              <w:bottom w:val="nil"/>
              <w:right w:val="nil"/>
            </w:tcBorders>
            <w:shd w:val="clear" w:color="000000" w:fill="FFFFFF"/>
            <w:vAlign w:val="bottom"/>
            <w:hideMark/>
          </w:tcPr>
          <w:p w14:paraId="087C4A25" w14:textId="77777777" w:rsidR="000B44B2" w:rsidRPr="000B44B2" w:rsidRDefault="000B44B2" w:rsidP="000B44B2">
            <w:pPr>
              <w:spacing w:before="0" w:after="0" w:line="240" w:lineRule="auto"/>
              <w:jc w:val="right"/>
              <w:rPr>
                <w:rFonts w:ascii="Arial" w:hAnsi="Arial" w:cs="Arial"/>
                <w:sz w:val="16"/>
                <w:szCs w:val="16"/>
              </w:rPr>
            </w:pPr>
            <w:r w:rsidRPr="000B44B2">
              <w:rPr>
                <w:rFonts w:ascii="Arial" w:hAnsi="Arial" w:cs="Arial"/>
                <w:sz w:val="16"/>
                <w:szCs w:val="16"/>
              </w:rPr>
              <w:t>25,409</w:t>
            </w:r>
          </w:p>
        </w:tc>
        <w:tc>
          <w:tcPr>
            <w:tcW w:w="672" w:type="pct"/>
            <w:tcBorders>
              <w:top w:val="nil"/>
              <w:left w:val="nil"/>
              <w:bottom w:val="nil"/>
              <w:right w:val="nil"/>
            </w:tcBorders>
            <w:shd w:val="clear" w:color="000000" w:fill="FFFFFF"/>
            <w:vAlign w:val="bottom"/>
            <w:hideMark/>
          </w:tcPr>
          <w:p w14:paraId="233523EB" w14:textId="77777777" w:rsidR="000B44B2" w:rsidRPr="000B44B2" w:rsidRDefault="000B44B2" w:rsidP="000B44B2">
            <w:pPr>
              <w:spacing w:before="0" w:after="0" w:line="240" w:lineRule="auto"/>
              <w:jc w:val="right"/>
              <w:rPr>
                <w:rFonts w:ascii="Arial" w:hAnsi="Arial" w:cs="Arial"/>
                <w:sz w:val="16"/>
                <w:szCs w:val="16"/>
              </w:rPr>
            </w:pPr>
            <w:r w:rsidRPr="000B44B2">
              <w:rPr>
                <w:rFonts w:ascii="Arial" w:hAnsi="Arial" w:cs="Arial"/>
                <w:sz w:val="16"/>
                <w:szCs w:val="16"/>
              </w:rPr>
              <w:t>26,141</w:t>
            </w:r>
          </w:p>
        </w:tc>
        <w:tc>
          <w:tcPr>
            <w:tcW w:w="672" w:type="pct"/>
            <w:tcBorders>
              <w:top w:val="nil"/>
              <w:left w:val="nil"/>
              <w:bottom w:val="nil"/>
              <w:right w:val="nil"/>
            </w:tcBorders>
            <w:shd w:val="clear" w:color="000000" w:fill="FFFFFF"/>
            <w:vAlign w:val="bottom"/>
            <w:hideMark/>
          </w:tcPr>
          <w:p w14:paraId="48AFA3DF" w14:textId="77777777" w:rsidR="000B44B2" w:rsidRPr="000B44B2" w:rsidRDefault="000B44B2" w:rsidP="000B44B2">
            <w:pPr>
              <w:spacing w:before="0" w:after="0" w:line="240" w:lineRule="auto"/>
              <w:jc w:val="right"/>
              <w:rPr>
                <w:rFonts w:ascii="Arial" w:hAnsi="Arial" w:cs="Arial"/>
                <w:sz w:val="16"/>
                <w:szCs w:val="16"/>
              </w:rPr>
            </w:pPr>
            <w:r w:rsidRPr="000B44B2">
              <w:rPr>
                <w:rFonts w:ascii="Arial" w:hAnsi="Arial" w:cs="Arial"/>
                <w:sz w:val="16"/>
                <w:szCs w:val="16"/>
              </w:rPr>
              <w:t>26,934</w:t>
            </w:r>
          </w:p>
        </w:tc>
      </w:tr>
      <w:tr w:rsidR="000B44B2" w:rsidRPr="000B44B2" w14:paraId="724BE283" w14:textId="77777777" w:rsidTr="000B44B2">
        <w:trPr>
          <w:trHeight w:hRule="exact" w:val="670"/>
        </w:trPr>
        <w:tc>
          <w:tcPr>
            <w:tcW w:w="1656" w:type="pct"/>
            <w:tcBorders>
              <w:top w:val="nil"/>
              <w:left w:val="nil"/>
              <w:bottom w:val="nil"/>
              <w:right w:val="nil"/>
            </w:tcBorders>
            <w:shd w:val="clear" w:color="000000" w:fill="FFFFFF"/>
            <w:vAlign w:val="center"/>
            <w:hideMark/>
          </w:tcPr>
          <w:p w14:paraId="318C004D" w14:textId="77777777" w:rsidR="000B44B2" w:rsidRPr="000B44B2" w:rsidRDefault="000B44B2" w:rsidP="000B44B2">
            <w:pPr>
              <w:spacing w:before="0" w:after="0" w:line="240" w:lineRule="auto"/>
              <w:rPr>
                <w:rFonts w:ascii="Arial" w:hAnsi="Arial" w:cs="Arial"/>
                <w:color w:val="000000"/>
                <w:sz w:val="16"/>
                <w:szCs w:val="16"/>
              </w:rPr>
            </w:pPr>
            <w:r w:rsidRPr="000B44B2">
              <w:rPr>
                <w:rFonts w:ascii="Arial" w:hAnsi="Arial" w:cs="Arial"/>
                <w:color w:val="000000"/>
                <w:sz w:val="16"/>
                <w:szCs w:val="16"/>
              </w:rPr>
              <w:t xml:space="preserve">Aboriginal and Torres Strait </w:t>
            </w:r>
            <w:r w:rsidRPr="000B44B2">
              <w:rPr>
                <w:rFonts w:ascii="Arial" w:hAnsi="Arial" w:cs="Arial"/>
                <w:color w:val="000000"/>
                <w:sz w:val="16"/>
                <w:szCs w:val="16"/>
              </w:rPr>
              <w:br/>
              <w:t xml:space="preserve">    Islander Land and Sea Future </w:t>
            </w:r>
            <w:r w:rsidRPr="000B44B2">
              <w:rPr>
                <w:rFonts w:ascii="Arial" w:hAnsi="Arial" w:cs="Arial"/>
                <w:color w:val="000000"/>
                <w:sz w:val="16"/>
                <w:szCs w:val="16"/>
              </w:rPr>
              <w:br/>
              <w:t xml:space="preserve">    Fund</w:t>
            </w:r>
          </w:p>
        </w:tc>
        <w:tc>
          <w:tcPr>
            <w:tcW w:w="664" w:type="pct"/>
            <w:tcBorders>
              <w:top w:val="nil"/>
              <w:left w:val="nil"/>
              <w:bottom w:val="nil"/>
              <w:right w:val="nil"/>
            </w:tcBorders>
            <w:shd w:val="clear" w:color="000000" w:fill="FFFFFF"/>
            <w:vAlign w:val="bottom"/>
            <w:hideMark/>
          </w:tcPr>
          <w:p w14:paraId="62F46250" w14:textId="77777777" w:rsidR="000B44B2" w:rsidRPr="000B44B2" w:rsidRDefault="000B44B2" w:rsidP="000B44B2">
            <w:pPr>
              <w:spacing w:before="0" w:after="0" w:line="240" w:lineRule="auto"/>
              <w:jc w:val="right"/>
              <w:rPr>
                <w:rFonts w:ascii="Arial" w:hAnsi="Arial" w:cs="Arial"/>
                <w:sz w:val="16"/>
                <w:szCs w:val="16"/>
              </w:rPr>
            </w:pPr>
            <w:r w:rsidRPr="000B44B2">
              <w:rPr>
                <w:rFonts w:ascii="Arial" w:hAnsi="Arial" w:cs="Arial"/>
                <w:sz w:val="16"/>
                <w:szCs w:val="16"/>
              </w:rPr>
              <w:t>2,371</w:t>
            </w:r>
          </w:p>
        </w:tc>
        <w:tc>
          <w:tcPr>
            <w:tcW w:w="664" w:type="pct"/>
            <w:tcBorders>
              <w:top w:val="nil"/>
              <w:left w:val="nil"/>
              <w:bottom w:val="nil"/>
              <w:right w:val="nil"/>
            </w:tcBorders>
            <w:shd w:val="clear" w:color="000000" w:fill="E6F2FF"/>
            <w:vAlign w:val="bottom"/>
            <w:hideMark/>
          </w:tcPr>
          <w:p w14:paraId="546C76D2" w14:textId="77777777" w:rsidR="000B44B2" w:rsidRPr="000B44B2" w:rsidRDefault="000B44B2" w:rsidP="000B44B2">
            <w:pPr>
              <w:spacing w:before="0" w:after="0" w:line="240" w:lineRule="auto"/>
              <w:jc w:val="right"/>
              <w:rPr>
                <w:rFonts w:ascii="Arial" w:hAnsi="Arial" w:cs="Arial"/>
                <w:sz w:val="16"/>
                <w:szCs w:val="16"/>
              </w:rPr>
            </w:pPr>
            <w:r w:rsidRPr="000B44B2">
              <w:rPr>
                <w:rFonts w:ascii="Arial" w:hAnsi="Arial" w:cs="Arial"/>
                <w:sz w:val="16"/>
                <w:szCs w:val="16"/>
              </w:rPr>
              <w:t>2,435</w:t>
            </w:r>
          </w:p>
        </w:tc>
        <w:tc>
          <w:tcPr>
            <w:tcW w:w="672" w:type="pct"/>
            <w:tcBorders>
              <w:top w:val="nil"/>
              <w:left w:val="nil"/>
              <w:bottom w:val="nil"/>
              <w:right w:val="nil"/>
            </w:tcBorders>
            <w:shd w:val="clear" w:color="000000" w:fill="FFFFFF"/>
            <w:vAlign w:val="bottom"/>
            <w:hideMark/>
          </w:tcPr>
          <w:p w14:paraId="6017355F" w14:textId="77777777" w:rsidR="000B44B2" w:rsidRPr="000B44B2" w:rsidRDefault="000B44B2" w:rsidP="000B44B2">
            <w:pPr>
              <w:spacing w:before="0" w:after="0" w:line="240" w:lineRule="auto"/>
              <w:jc w:val="right"/>
              <w:rPr>
                <w:rFonts w:ascii="Arial" w:hAnsi="Arial" w:cs="Arial"/>
                <w:sz w:val="16"/>
                <w:szCs w:val="16"/>
              </w:rPr>
            </w:pPr>
            <w:r w:rsidRPr="000B44B2">
              <w:rPr>
                <w:rFonts w:ascii="Arial" w:hAnsi="Arial" w:cs="Arial"/>
                <w:sz w:val="16"/>
                <w:szCs w:val="16"/>
              </w:rPr>
              <w:t>2,484</w:t>
            </w:r>
          </w:p>
        </w:tc>
        <w:tc>
          <w:tcPr>
            <w:tcW w:w="672" w:type="pct"/>
            <w:tcBorders>
              <w:top w:val="nil"/>
              <w:left w:val="nil"/>
              <w:bottom w:val="nil"/>
              <w:right w:val="nil"/>
            </w:tcBorders>
            <w:shd w:val="clear" w:color="000000" w:fill="FFFFFF"/>
            <w:vAlign w:val="bottom"/>
            <w:hideMark/>
          </w:tcPr>
          <w:p w14:paraId="75676A9B" w14:textId="77777777" w:rsidR="000B44B2" w:rsidRPr="000B44B2" w:rsidRDefault="000B44B2" w:rsidP="000B44B2">
            <w:pPr>
              <w:spacing w:before="0" w:after="0" w:line="240" w:lineRule="auto"/>
              <w:jc w:val="right"/>
              <w:rPr>
                <w:rFonts w:ascii="Arial" w:hAnsi="Arial" w:cs="Arial"/>
                <w:sz w:val="16"/>
                <w:szCs w:val="16"/>
              </w:rPr>
            </w:pPr>
            <w:r w:rsidRPr="000B44B2">
              <w:rPr>
                <w:rFonts w:ascii="Arial" w:hAnsi="Arial" w:cs="Arial"/>
                <w:sz w:val="16"/>
                <w:szCs w:val="16"/>
              </w:rPr>
              <w:t>2,533</w:t>
            </w:r>
          </w:p>
        </w:tc>
        <w:tc>
          <w:tcPr>
            <w:tcW w:w="672" w:type="pct"/>
            <w:tcBorders>
              <w:top w:val="nil"/>
              <w:left w:val="nil"/>
              <w:bottom w:val="nil"/>
              <w:right w:val="nil"/>
            </w:tcBorders>
            <w:shd w:val="clear" w:color="000000" w:fill="FFFFFF"/>
            <w:vAlign w:val="bottom"/>
            <w:hideMark/>
          </w:tcPr>
          <w:p w14:paraId="1B71A822" w14:textId="77777777" w:rsidR="000B44B2" w:rsidRPr="000B44B2" w:rsidRDefault="000B44B2" w:rsidP="000B44B2">
            <w:pPr>
              <w:spacing w:before="0" w:after="0" w:line="240" w:lineRule="auto"/>
              <w:jc w:val="right"/>
              <w:rPr>
                <w:rFonts w:ascii="Arial" w:hAnsi="Arial" w:cs="Arial"/>
                <w:sz w:val="16"/>
                <w:szCs w:val="16"/>
              </w:rPr>
            </w:pPr>
            <w:r w:rsidRPr="000B44B2">
              <w:rPr>
                <w:rFonts w:ascii="Arial" w:hAnsi="Arial" w:cs="Arial"/>
                <w:sz w:val="16"/>
                <w:szCs w:val="16"/>
              </w:rPr>
              <w:t>2,584</w:t>
            </w:r>
          </w:p>
        </w:tc>
      </w:tr>
      <w:tr w:rsidR="000B44B2" w:rsidRPr="000B44B2" w14:paraId="0753E48B" w14:textId="77777777" w:rsidTr="000B44B2">
        <w:trPr>
          <w:trHeight w:hRule="exact" w:val="230"/>
        </w:trPr>
        <w:tc>
          <w:tcPr>
            <w:tcW w:w="1656" w:type="pct"/>
            <w:tcBorders>
              <w:top w:val="nil"/>
              <w:left w:val="nil"/>
              <w:bottom w:val="nil"/>
              <w:right w:val="nil"/>
            </w:tcBorders>
            <w:shd w:val="clear" w:color="000000" w:fill="FFFFFF"/>
            <w:vAlign w:val="center"/>
            <w:hideMark/>
          </w:tcPr>
          <w:p w14:paraId="643DA456" w14:textId="77777777" w:rsidR="000B44B2" w:rsidRPr="000B44B2" w:rsidRDefault="000B44B2" w:rsidP="000B44B2">
            <w:pPr>
              <w:spacing w:before="0" w:after="0" w:line="240" w:lineRule="auto"/>
              <w:rPr>
                <w:rFonts w:ascii="Arial" w:hAnsi="Arial" w:cs="Arial"/>
                <w:color w:val="000000"/>
                <w:sz w:val="16"/>
                <w:szCs w:val="16"/>
              </w:rPr>
            </w:pPr>
            <w:r w:rsidRPr="000B44B2">
              <w:rPr>
                <w:rFonts w:ascii="Arial" w:hAnsi="Arial" w:cs="Arial"/>
                <w:color w:val="000000"/>
                <w:sz w:val="16"/>
                <w:szCs w:val="16"/>
              </w:rPr>
              <w:t>Future Drought Fund </w:t>
            </w:r>
          </w:p>
        </w:tc>
        <w:tc>
          <w:tcPr>
            <w:tcW w:w="664" w:type="pct"/>
            <w:tcBorders>
              <w:top w:val="nil"/>
              <w:left w:val="nil"/>
              <w:bottom w:val="nil"/>
              <w:right w:val="nil"/>
            </w:tcBorders>
            <w:shd w:val="clear" w:color="000000" w:fill="FFFFFF"/>
            <w:vAlign w:val="bottom"/>
            <w:hideMark/>
          </w:tcPr>
          <w:p w14:paraId="2BD6750C" w14:textId="77777777" w:rsidR="000B44B2" w:rsidRPr="000B44B2" w:rsidRDefault="000B44B2" w:rsidP="000B44B2">
            <w:pPr>
              <w:spacing w:before="0" w:after="0" w:line="240" w:lineRule="auto"/>
              <w:jc w:val="right"/>
              <w:rPr>
                <w:rFonts w:ascii="Arial" w:hAnsi="Arial" w:cs="Arial"/>
                <w:sz w:val="16"/>
                <w:szCs w:val="16"/>
              </w:rPr>
            </w:pPr>
            <w:r w:rsidRPr="000B44B2">
              <w:rPr>
                <w:rFonts w:ascii="Arial" w:hAnsi="Arial" w:cs="Arial"/>
                <w:sz w:val="16"/>
                <w:szCs w:val="16"/>
              </w:rPr>
              <w:t>5,185</w:t>
            </w:r>
          </w:p>
        </w:tc>
        <w:tc>
          <w:tcPr>
            <w:tcW w:w="664" w:type="pct"/>
            <w:tcBorders>
              <w:top w:val="nil"/>
              <w:left w:val="nil"/>
              <w:bottom w:val="nil"/>
              <w:right w:val="nil"/>
            </w:tcBorders>
            <w:shd w:val="clear" w:color="000000" w:fill="E6F2FF"/>
            <w:vAlign w:val="bottom"/>
            <w:hideMark/>
          </w:tcPr>
          <w:p w14:paraId="5D552639" w14:textId="77777777" w:rsidR="000B44B2" w:rsidRPr="000B44B2" w:rsidRDefault="000B44B2" w:rsidP="000B44B2">
            <w:pPr>
              <w:spacing w:before="0" w:after="0" w:line="240" w:lineRule="auto"/>
              <w:jc w:val="right"/>
              <w:rPr>
                <w:rFonts w:ascii="Arial" w:hAnsi="Arial" w:cs="Arial"/>
                <w:sz w:val="16"/>
                <w:szCs w:val="16"/>
              </w:rPr>
            </w:pPr>
            <w:r w:rsidRPr="000B44B2">
              <w:rPr>
                <w:rFonts w:ascii="Arial" w:hAnsi="Arial" w:cs="Arial"/>
                <w:sz w:val="16"/>
                <w:szCs w:val="16"/>
              </w:rPr>
              <w:t>5,373</w:t>
            </w:r>
          </w:p>
        </w:tc>
        <w:tc>
          <w:tcPr>
            <w:tcW w:w="672" w:type="pct"/>
            <w:tcBorders>
              <w:top w:val="nil"/>
              <w:left w:val="nil"/>
              <w:bottom w:val="nil"/>
              <w:right w:val="nil"/>
            </w:tcBorders>
            <w:shd w:val="clear" w:color="000000" w:fill="FFFFFF"/>
            <w:vAlign w:val="bottom"/>
            <w:hideMark/>
          </w:tcPr>
          <w:p w14:paraId="26A842E2" w14:textId="77777777" w:rsidR="000B44B2" w:rsidRPr="000B44B2" w:rsidRDefault="000B44B2" w:rsidP="000B44B2">
            <w:pPr>
              <w:spacing w:before="0" w:after="0" w:line="240" w:lineRule="auto"/>
              <w:jc w:val="right"/>
              <w:rPr>
                <w:rFonts w:ascii="Arial" w:hAnsi="Arial" w:cs="Arial"/>
                <w:sz w:val="16"/>
                <w:szCs w:val="16"/>
              </w:rPr>
            </w:pPr>
            <w:r w:rsidRPr="000B44B2">
              <w:rPr>
                <w:rFonts w:ascii="Arial" w:hAnsi="Arial" w:cs="Arial"/>
                <w:sz w:val="16"/>
                <w:szCs w:val="16"/>
              </w:rPr>
              <w:t>5,535</w:t>
            </w:r>
          </w:p>
        </w:tc>
        <w:tc>
          <w:tcPr>
            <w:tcW w:w="672" w:type="pct"/>
            <w:tcBorders>
              <w:top w:val="nil"/>
              <w:left w:val="nil"/>
              <w:bottom w:val="nil"/>
              <w:right w:val="nil"/>
            </w:tcBorders>
            <w:shd w:val="clear" w:color="000000" w:fill="FFFFFF"/>
            <w:vAlign w:val="bottom"/>
            <w:hideMark/>
          </w:tcPr>
          <w:p w14:paraId="201A9A57" w14:textId="77777777" w:rsidR="000B44B2" w:rsidRPr="000B44B2" w:rsidRDefault="000B44B2" w:rsidP="000B44B2">
            <w:pPr>
              <w:spacing w:before="0" w:after="0" w:line="240" w:lineRule="auto"/>
              <w:jc w:val="right"/>
              <w:rPr>
                <w:rFonts w:ascii="Arial" w:hAnsi="Arial" w:cs="Arial"/>
                <w:sz w:val="16"/>
                <w:szCs w:val="16"/>
              </w:rPr>
            </w:pPr>
            <w:r w:rsidRPr="000B44B2">
              <w:rPr>
                <w:rFonts w:ascii="Arial" w:hAnsi="Arial" w:cs="Arial"/>
                <w:sz w:val="16"/>
                <w:szCs w:val="16"/>
              </w:rPr>
              <w:t>5,703</w:t>
            </w:r>
          </w:p>
        </w:tc>
        <w:tc>
          <w:tcPr>
            <w:tcW w:w="672" w:type="pct"/>
            <w:tcBorders>
              <w:top w:val="nil"/>
              <w:left w:val="nil"/>
              <w:bottom w:val="nil"/>
              <w:right w:val="nil"/>
            </w:tcBorders>
            <w:shd w:val="clear" w:color="000000" w:fill="FFFFFF"/>
            <w:vAlign w:val="bottom"/>
            <w:hideMark/>
          </w:tcPr>
          <w:p w14:paraId="379FC4F6" w14:textId="77777777" w:rsidR="000B44B2" w:rsidRPr="000B44B2" w:rsidRDefault="000B44B2" w:rsidP="000B44B2">
            <w:pPr>
              <w:spacing w:before="0" w:after="0" w:line="240" w:lineRule="auto"/>
              <w:jc w:val="right"/>
              <w:rPr>
                <w:rFonts w:ascii="Arial" w:hAnsi="Arial" w:cs="Arial"/>
                <w:sz w:val="16"/>
                <w:szCs w:val="16"/>
              </w:rPr>
            </w:pPr>
            <w:r w:rsidRPr="000B44B2">
              <w:rPr>
                <w:rFonts w:ascii="Arial" w:hAnsi="Arial" w:cs="Arial"/>
                <w:sz w:val="16"/>
                <w:szCs w:val="16"/>
              </w:rPr>
              <w:t>5,884</w:t>
            </w:r>
          </w:p>
        </w:tc>
      </w:tr>
      <w:tr w:rsidR="000B44B2" w:rsidRPr="000B44B2" w14:paraId="5874B599" w14:textId="77777777" w:rsidTr="000B44B2">
        <w:trPr>
          <w:trHeight w:hRule="exact" w:val="230"/>
        </w:trPr>
        <w:tc>
          <w:tcPr>
            <w:tcW w:w="1656" w:type="pct"/>
            <w:tcBorders>
              <w:top w:val="nil"/>
              <w:left w:val="nil"/>
              <w:bottom w:val="nil"/>
              <w:right w:val="nil"/>
            </w:tcBorders>
            <w:shd w:val="clear" w:color="000000" w:fill="FFFFFF"/>
            <w:vAlign w:val="center"/>
            <w:hideMark/>
          </w:tcPr>
          <w:p w14:paraId="38734D70" w14:textId="77777777" w:rsidR="000B44B2" w:rsidRPr="000B44B2" w:rsidRDefault="000B44B2" w:rsidP="000B44B2">
            <w:pPr>
              <w:spacing w:before="0" w:after="0" w:line="240" w:lineRule="auto"/>
              <w:rPr>
                <w:rFonts w:ascii="Arial" w:hAnsi="Arial" w:cs="Arial"/>
                <w:color w:val="000000"/>
                <w:sz w:val="16"/>
                <w:szCs w:val="16"/>
              </w:rPr>
            </w:pPr>
            <w:r w:rsidRPr="000B44B2">
              <w:rPr>
                <w:rFonts w:ascii="Arial" w:hAnsi="Arial" w:cs="Arial"/>
                <w:color w:val="000000"/>
                <w:sz w:val="16"/>
                <w:szCs w:val="16"/>
              </w:rPr>
              <w:t>Disaster Ready Fund</w:t>
            </w:r>
          </w:p>
        </w:tc>
        <w:tc>
          <w:tcPr>
            <w:tcW w:w="664" w:type="pct"/>
            <w:tcBorders>
              <w:top w:val="nil"/>
              <w:left w:val="nil"/>
              <w:bottom w:val="nil"/>
              <w:right w:val="nil"/>
            </w:tcBorders>
            <w:shd w:val="clear" w:color="000000" w:fill="FFFFFF"/>
            <w:vAlign w:val="bottom"/>
            <w:hideMark/>
          </w:tcPr>
          <w:p w14:paraId="3A6E8A38" w14:textId="77777777" w:rsidR="000B44B2" w:rsidRPr="000B44B2" w:rsidRDefault="000B44B2" w:rsidP="000B44B2">
            <w:pPr>
              <w:spacing w:before="0" w:after="0" w:line="240" w:lineRule="auto"/>
              <w:jc w:val="right"/>
              <w:rPr>
                <w:rFonts w:ascii="Arial" w:hAnsi="Arial" w:cs="Arial"/>
                <w:color w:val="000000"/>
                <w:sz w:val="16"/>
                <w:szCs w:val="16"/>
              </w:rPr>
            </w:pPr>
            <w:r w:rsidRPr="000B44B2">
              <w:rPr>
                <w:rFonts w:ascii="Arial" w:hAnsi="Arial" w:cs="Arial"/>
                <w:color w:val="000000"/>
                <w:sz w:val="16"/>
                <w:szCs w:val="16"/>
              </w:rPr>
              <w:t>4,795</w:t>
            </w:r>
          </w:p>
        </w:tc>
        <w:tc>
          <w:tcPr>
            <w:tcW w:w="664" w:type="pct"/>
            <w:tcBorders>
              <w:top w:val="nil"/>
              <w:left w:val="nil"/>
              <w:bottom w:val="nil"/>
              <w:right w:val="nil"/>
            </w:tcBorders>
            <w:shd w:val="clear" w:color="000000" w:fill="E6F2FF"/>
            <w:vAlign w:val="bottom"/>
            <w:hideMark/>
          </w:tcPr>
          <w:p w14:paraId="3DB95997" w14:textId="77777777" w:rsidR="000B44B2" w:rsidRPr="000B44B2" w:rsidRDefault="000B44B2" w:rsidP="000B44B2">
            <w:pPr>
              <w:spacing w:before="0" w:after="0" w:line="240" w:lineRule="auto"/>
              <w:jc w:val="right"/>
              <w:rPr>
                <w:rFonts w:ascii="Arial" w:hAnsi="Arial" w:cs="Arial"/>
                <w:color w:val="000000"/>
                <w:sz w:val="16"/>
                <w:szCs w:val="16"/>
              </w:rPr>
            </w:pPr>
            <w:r w:rsidRPr="000B44B2">
              <w:rPr>
                <w:rFonts w:ascii="Arial" w:hAnsi="Arial" w:cs="Arial"/>
                <w:color w:val="000000"/>
                <w:sz w:val="16"/>
                <w:szCs w:val="16"/>
              </w:rPr>
              <w:t>5,065</w:t>
            </w:r>
          </w:p>
        </w:tc>
        <w:tc>
          <w:tcPr>
            <w:tcW w:w="672" w:type="pct"/>
            <w:tcBorders>
              <w:top w:val="nil"/>
              <w:left w:val="nil"/>
              <w:bottom w:val="nil"/>
              <w:right w:val="nil"/>
            </w:tcBorders>
            <w:shd w:val="clear" w:color="000000" w:fill="FFFFFF"/>
            <w:vAlign w:val="bottom"/>
            <w:hideMark/>
          </w:tcPr>
          <w:p w14:paraId="0AAEC821" w14:textId="77777777" w:rsidR="000B44B2" w:rsidRPr="000B44B2" w:rsidRDefault="000B44B2" w:rsidP="000B44B2">
            <w:pPr>
              <w:spacing w:before="0" w:after="0" w:line="240" w:lineRule="auto"/>
              <w:jc w:val="right"/>
              <w:rPr>
                <w:rFonts w:ascii="Arial" w:hAnsi="Arial" w:cs="Arial"/>
                <w:color w:val="000000"/>
                <w:sz w:val="16"/>
                <w:szCs w:val="16"/>
              </w:rPr>
            </w:pPr>
            <w:r w:rsidRPr="000B44B2">
              <w:rPr>
                <w:rFonts w:ascii="Arial" w:hAnsi="Arial" w:cs="Arial"/>
                <w:color w:val="000000"/>
                <w:sz w:val="16"/>
                <w:szCs w:val="16"/>
              </w:rPr>
              <w:t>5,314</w:t>
            </w:r>
          </w:p>
        </w:tc>
        <w:tc>
          <w:tcPr>
            <w:tcW w:w="672" w:type="pct"/>
            <w:tcBorders>
              <w:top w:val="nil"/>
              <w:left w:val="nil"/>
              <w:bottom w:val="nil"/>
              <w:right w:val="nil"/>
            </w:tcBorders>
            <w:shd w:val="clear" w:color="000000" w:fill="FFFFFF"/>
            <w:vAlign w:val="bottom"/>
            <w:hideMark/>
          </w:tcPr>
          <w:p w14:paraId="6E405E65" w14:textId="77777777" w:rsidR="000B44B2" w:rsidRPr="000B44B2" w:rsidRDefault="000B44B2" w:rsidP="000B44B2">
            <w:pPr>
              <w:spacing w:before="0" w:after="0" w:line="240" w:lineRule="auto"/>
              <w:jc w:val="right"/>
              <w:rPr>
                <w:rFonts w:ascii="Arial" w:hAnsi="Arial" w:cs="Arial"/>
                <w:color w:val="000000"/>
                <w:sz w:val="16"/>
                <w:szCs w:val="16"/>
              </w:rPr>
            </w:pPr>
            <w:r w:rsidRPr="000B44B2">
              <w:rPr>
                <w:rFonts w:ascii="Arial" w:hAnsi="Arial" w:cs="Arial"/>
                <w:color w:val="000000"/>
                <w:sz w:val="16"/>
                <w:szCs w:val="16"/>
              </w:rPr>
              <w:t>5,575</w:t>
            </w:r>
          </w:p>
        </w:tc>
        <w:tc>
          <w:tcPr>
            <w:tcW w:w="672" w:type="pct"/>
            <w:tcBorders>
              <w:top w:val="nil"/>
              <w:left w:val="nil"/>
              <w:bottom w:val="nil"/>
              <w:right w:val="nil"/>
            </w:tcBorders>
            <w:shd w:val="clear" w:color="000000" w:fill="FFFFFF"/>
            <w:vAlign w:val="bottom"/>
            <w:hideMark/>
          </w:tcPr>
          <w:p w14:paraId="367242AD" w14:textId="77777777" w:rsidR="000B44B2" w:rsidRPr="000B44B2" w:rsidRDefault="000B44B2" w:rsidP="000B44B2">
            <w:pPr>
              <w:spacing w:before="0" w:after="0" w:line="240" w:lineRule="auto"/>
              <w:jc w:val="right"/>
              <w:rPr>
                <w:rFonts w:ascii="Arial" w:hAnsi="Arial" w:cs="Arial"/>
                <w:color w:val="000000"/>
                <w:sz w:val="16"/>
                <w:szCs w:val="16"/>
              </w:rPr>
            </w:pPr>
            <w:r w:rsidRPr="000B44B2">
              <w:rPr>
                <w:rFonts w:ascii="Arial" w:hAnsi="Arial" w:cs="Arial"/>
                <w:color w:val="000000"/>
                <w:sz w:val="16"/>
                <w:szCs w:val="16"/>
              </w:rPr>
              <w:t>5,852</w:t>
            </w:r>
          </w:p>
        </w:tc>
      </w:tr>
      <w:tr w:rsidR="000B44B2" w:rsidRPr="000B44B2" w14:paraId="3430BD1E" w14:textId="77777777" w:rsidTr="000B44B2">
        <w:trPr>
          <w:trHeight w:hRule="exact" w:val="230"/>
        </w:trPr>
        <w:tc>
          <w:tcPr>
            <w:tcW w:w="1656" w:type="pct"/>
            <w:tcBorders>
              <w:top w:val="nil"/>
              <w:left w:val="nil"/>
              <w:bottom w:val="nil"/>
              <w:right w:val="nil"/>
            </w:tcBorders>
            <w:shd w:val="clear" w:color="000000" w:fill="FFFFFF"/>
            <w:vAlign w:val="center"/>
            <w:hideMark/>
          </w:tcPr>
          <w:p w14:paraId="106784C1" w14:textId="77777777" w:rsidR="000B44B2" w:rsidRPr="000B44B2" w:rsidRDefault="000B44B2" w:rsidP="000B44B2">
            <w:pPr>
              <w:spacing w:before="0" w:after="0" w:line="240" w:lineRule="auto"/>
              <w:rPr>
                <w:rFonts w:ascii="Arial" w:hAnsi="Arial" w:cs="Arial"/>
                <w:color w:val="000000"/>
                <w:sz w:val="16"/>
                <w:szCs w:val="16"/>
              </w:rPr>
            </w:pPr>
            <w:r w:rsidRPr="000B44B2">
              <w:rPr>
                <w:rFonts w:ascii="Arial" w:hAnsi="Arial" w:cs="Arial"/>
                <w:color w:val="000000"/>
                <w:sz w:val="16"/>
                <w:szCs w:val="16"/>
              </w:rPr>
              <w:t xml:space="preserve">Housing Australia Future Fund     </w:t>
            </w:r>
          </w:p>
        </w:tc>
        <w:tc>
          <w:tcPr>
            <w:tcW w:w="664" w:type="pct"/>
            <w:tcBorders>
              <w:top w:val="nil"/>
              <w:left w:val="nil"/>
              <w:bottom w:val="nil"/>
              <w:right w:val="nil"/>
            </w:tcBorders>
            <w:shd w:val="clear" w:color="000000" w:fill="FFFFFF"/>
            <w:vAlign w:val="bottom"/>
            <w:hideMark/>
          </w:tcPr>
          <w:p w14:paraId="6E5C8F3E" w14:textId="77777777" w:rsidR="000B44B2" w:rsidRPr="000B44B2" w:rsidRDefault="000B44B2" w:rsidP="000B44B2">
            <w:pPr>
              <w:spacing w:before="0" w:after="0" w:line="240" w:lineRule="auto"/>
              <w:jc w:val="right"/>
              <w:rPr>
                <w:rFonts w:ascii="Arial" w:hAnsi="Arial" w:cs="Arial"/>
                <w:color w:val="000000"/>
                <w:sz w:val="16"/>
                <w:szCs w:val="16"/>
              </w:rPr>
            </w:pPr>
            <w:r w:rsidRPr="000B44B2">
              <w:rPr>
                <w:rFonts w:ascii="Arial" w:hAnsi="Arial" w:cs="Arial"/>
                <w:color w:val="000000"/>
                <w:sz w:val="16"/>
                <w:szCs w:val="16"/>
              </w:rPr>
              <w:t>10,653</w:t>
            </w:r>
          </w:p>
        </w:tc>
        <w:tc>
          <w:tcPr>
            <w:tcW w:w="664" w:type="pct"/>
            <w:tcBorders>
              <w:top w:val="nil"/>
              <w:left w:val="nil"/>
              <w:bottom w:val="nil"/>
              <w:right w:val="nil"/>
            </w:tcBorders>
            <w:shd w:val="clear" w:color="000000" w:fill="E6F2FF"/>
            <w:vAlign w:val="bottom"/>
            <w:hideMark/>
          </w:tcPr>
          <w:p w14:paraId="6FF02107" w14:textId="77777777" w:rsidR="000B44B2" w:rsidRPr="000B44B2" w:rsidRDefault="000B44B2" w:rsidP="000B44B2">
            <w:pPr>
              <w:spacing w:before="0" w:after="0" w:line="240" w:lineRule="auto"/>
              <w:jc w:val="right"/>
              <w:rPr>
                <w:rFonts w:ascii="Arial" w:hAnsi="Arial" w:cs="Arial"/>
                <w:color w:val="000000"/>
                <w:sz w:val="16"/>
                <w:szCs w:val="16"/>
              </w:rPr>
            </w:pPr>
            <w:r w:rsidRPr="000B44B2">
              <w:rPr>
                <w:rFonts w:ascii="Arial" w:hAnsi="Arial" w:cs="Arial"/>
                <w:color w:val="000000"/>
                <w:sz w:val="16"/>
                <w:szCs w:val="16"/>
              </w:rPr>
              <w:t>10,735</w:t>
            </w:r>
          </w:p>
        </w:tc>
        <w:tc>
          <w:tcPr>
            <w:tcW w:w="672" w:type="pct"/>
            <w:tcBorders>
              <w:top w:val="nil"/>
              <w:left w:val="nil"/>
              <w:bottom w:val="nil"/>
              <w:right w:val="nil"/>
            </w:tcBorders>
            <w:shd w:val="clear" w:color="000000" w:fill="FFFFFF"/>
            <w:vAlign w:val="bottom"/>
            <w:hideMark/>
          </w:tcPr>
          <w:p w14:paraId="6A2FEBC6" w14:textId="77777777" w:rsidR="000B44B2" w:rsidRPr="000B44B2" w:rsidRDefault="000B44B2" w:rsidP="000B44B2">
            <w:pPr>
              <w:spacing w:before="0" w:after="0" w:line="240" w:lineRule="auto"/>
              <w:jc w:val="right"/>
              <w:rPr>
                <w:rFonts w:ascii="Arial" w:hAnsi="Arial" w:cs="Arial"/>
                <w:color w:val="000000"/>
                <w:sz w:val="16"/>
                <w:szCs w:val="16"/>
              </w:rPr>
            </w:pPr>
            <w:r w:rsidRPr="000B44B2">
              <w:rPr>
                <w:rFonts w:ascii="Arial" w:hAnsi="Arial" w:cs="Arial"/>
                <w:color w:val="000000"/>
                <w:sz w:val="16"/>
                <w:szCs w:val="16"/>
              </w:rPr>
              <w:t>10,749</w:t>
            </w:r>
          </w:p>
        </w:tc>
        <w:tc>
          <w:tcPr>
            <w:tcW w:w="672" w:type="pct"/>
            <w:tcBorders>
              <w:top w:val="nil"/>
              <w:left w:val="nil"/>
              <w:bottom w:val="nil"/>
              <w:right w:val="nil"/>
            </w:tcBorders>
            <w:shd w:val="clear" w:color="000000" w:fill="FFFFFF"/>
            <w:vAlign w:val="bottom"/>
            <w:hideMark/>
          </w:tcPr>
          <w:p w14:paraId="4B74E9DD" w14:textId="77777777" w:rsidR="000B44B2" w:rsidRPr="000B44B2" w:rsidRDefault="000B44B2" w:rsidP="000B44B2">
            <w:pPr>
              <w:spacing w:before="0" w:after="0" w:line="240" w:lineRule="auto"/>
              <w:jc w:val="right"/>
              <w:rPr>
                <w:rFonts w:ascii="Arial" w:hAnsi="Arial" w:cs="Arial"/>
                <w:color w:val="000000"/>
                <w:sz w:val="16"/>
                <w:szCs w:val="16"/>
              </w:rPr>
            </w:pPr>
            <w:r w:rsidRPr="000B44B2">
              <w:rPr>
                <w:rFonts w:ascii="Arial" w:hAnsi="Arial" w:cs="Arial"/>
                <w:color w:val="000000"/>
                <w:sz w:val="16"/>
                <w:szCs w:val="16"/>
              </w:rPr>
              <w:t>10,760</w:t>
            </w:r>
          </w:p>
        </w:tc>
        <w:tc>
          <w:tcPr>
            <w:tcW w:w="672" w:type="pct"/>
            <w:tcBorders>
              <w:top w:val="nil"/>
              <w:left w:val="nil"/>
              <w:bottom w:val="nil"/>
              <w:right w:val="nil"/>
            </w:tcBorders>
            <w:shd w:val="clear" w:color="000000" w:fill="FFFFFF"/>
            <w:vAlign w:val="bottom"/>
            <w:hideMark/>
          </w:tcPr>
          <w:p w14:paraId="5F3CA271" w14:textId="77777777" w:rsidR="000B44B2" w:rsidRPr="000B44B2" w:rsidRDefault="000B44B2" w:rsidP="000B44B2">
            <w:pPr>
              <w:spacing w:before="0" w:after="0" w:line="240" w:lineRule="auto"/>
              <w:jc w:val="right"/>
              <w:rPr>
                <w:rFonts w:ascii="Arial" w:hAnsi="Arial" w:cs="Arial"/>
                <w:color w:val="000000"/>
                <w:sz w:val="16"/>
                <w:szCs w:val="16"/>
              </w:rPr>
            </w:pPr>
            <w:r w:rsidRPr="000B44B2">
              <w:rPr>
                <w:rFonts w:ascii="Arial" w:hAnsi="Arial" w:cs="Arial"/>
                <w:color w:val="000000"/>
                <w:sz w:val="16"/>
                <w:szCs w:val="16"/>
              </w:rPr>
              <w:t>10,779</w:t>
            </w:r>
          </w:p>
        </w:tc>
      </w:tr>
      <w:tr w:rsidR="000B44B2" w:rsidRPr="000B44B2" w14:paraId="4038F1AD" w14:textId="77777777" w:rsidTr="000B44B2">
        <w:trPr>
          <w:trHeight w:hRule="exact" w:val="230"/>
        </w:trPr>
        <w:tc>
          <w:tcPr>
            <w:tcW w:w="1656" w:type="pct"/>
            <w:tcBorders>
              <w:top w:val="single" w:sz="4" w:space="0" w:color="293F5B"/>
              <w:left w:val="nil"/>
              <w:bottom w:val="single" w:sz="4" w:space="0" w:color="293F5B"/>
              <w:right w:val="nil"/>
            </w:tcBorders>
            <w:shd w:val="clear" w:color="000000" w:fill="FFFFFF"/>
            <w:vAlign w:val="center"/>
            <w:hideMark/>
          </w:tcPr>
          <w:p w14:paraId="4CD3E93C" w14:textId="77777777" w:rsidR="000B44B2" w:rsidRPr="000B44B2" w:rsidRDefault="000B44B2" w:rsidP="000B44B2">
            <w:pPr>
              <w:spacing w:before="0" w:after="0" w:line="240" w:lineRule="auto"/>
              <w:rPr>
                <w:rFonts w:ascii="Arial" w:hAnsi="Arial" w:cs="Arial"/>
                <w:b/>
                <w:bCs/>
                <w:color w:val="000000"/>
                <w:sz w:val="16"/>
                <w:szCs w:val="16"/>
              </w:rPr>
            </w:pPr>
            <w:r w:rsidRPr="000B44B2">
              <w:rPr>
                <w:rFonts w:ascii="Arial" w:hAnsi="Arial" w:cs="Arial"/>
                <w:b/>
                <w:bCs/>
                <w:color w:val="000000"/>
                <w:sz w:val="16"/>
                <w:szCs w:val="16"/>
              </w:rPr>
              <w:t>Total investment funds </w:t>
            </w:r>
          </w:p>
        </w:tc>
        <w:tc>
          <w:tcPr>
            <w:tcW w:w="664" w:type="pct"/>
            <w:tcBorders>
              <w:top w:val="single" w:sz="4" w:space="0" w:color="293F5B"/>
              <w:left w:val="nil"/>
              <w:bottom w:val="single" w:sz="4" w:space="0" w:color="293F5B"/>
              <w:right w:val="nil"/>
            </w:tcBorders>
            <w:shd w:val="clear" w:color="000000" w:fill="FFFFFF"/>
            <w:vAlign w:val="bottom"/>
            <w:hideMark/>
          </w:tcPr>
          <w:p w14:paraId="78A78B9E" w14:textId="77777777" w:rsidR="000B44B2" w:rsidRPr="000B44B2" w:rsidRDefault="000B44B2" w:rsidP="000B44B2">
            <w:pPr>
              <w:spacing w:before="0" w:after="0" w:line="240" w:lineRule="auto"/>
              <w:jc w:val="right"/>
              <w:rPr>
                <w:rFonts w:ascii="Arial" w:hAnsi="Arial" w:cs="Arial"/>
                <w:b/>
                <w:bCs/>
                <w:color w:val="000000"/>
                <w:sz w:val="16"/>
                <w:szCs w:val="16"/>
              </w:rPr>
            </w:pPr>
            <w:r w:rsidRPr="000B44B2">
              <w:rPr>
                <w:rFonts w:ascii="Arial" w:hAnsi="Arial" w:cs="Arial"/>
                <w:b/>
                <w:bCs/>
                <w:color w:val="000000"/>
                <w:sz w:val="16"/>
                <w:szCs w:val="16"/>
              </w:rPr>
              <w:t>308,943</w:t>
            </w:r>
          </w:p>
        </w:tc>
        <w:tc>
          <w:tcPr>
            <w:tcW w:w="664" w:type="pct"/>
            <w:tcBorders>
              <w:top w:val="single" w:sz="4" w:space="0" w:color="293F5B"/>
              <w:left w:val="nil"/>
              <w:bottom w:val="single" w:sz="4" w:space="0" w:color="293F5B"/>
              <w:right w:val="nil"/>
            </w:tcBorders>
            <w:shd w:val="clear" w:color="000000" w:fill="E6F2FF"/>
            <w:vAlign w:val="bottom"/>
            <w:hideMark/>
          </w:tcPr>
          <w:p w14:paraId="4EA43105" w14:textId="77777777" w:rsidR="000B44B2" w:rsidRPr="000B44B2" w:rsidRDefault="000B44B2" w:rsidP="000B44B2">
            <w:pPr>
              <w:spacing w:before="0" w:after="0" w:line="240" w:lineRule="auto"/>
              <w:jc w:val="right"/>
              <w:rPr>
                <w:rFonts w:ascii="Arial" w:hAnsi="Arial" w:cs="Arial"/>
                <w:b/>
                <w:bCs/>
                <w:color w:val="000000"/>
                <w:sz w:val="16"/>
                <w:szCs w:val="16"/>
              </w:rPr>
            </w:pPr>
            <w:r w:rsidRPr="000B44B2">
              <w:rPr>
                <w:rFonts w:ascii="Arial" w:hAnsi="Arial" w:cs="Arial"/>
                <w:b/>
                <w:bCs/>
                <w:color w:val="000000"/>
                <w:sz w:val="16"/>
                <w:szCs w:val="16"/>
              </w:rPr>
              <w:t>323,638</w:t>
            </w:r>
          </w:p>
        </w:tc>
        <w:tc>
          <w:tcPr>
            <w:tcW w:w="672" w:type="pct"/>
            <w:tcBorders>
              <w:top w:val="single" w:sz="4" w:space="0" w:color="293F5B"/>
              <w:left w:val="nil"/>
              <w:bottom w:val="single" w:sz="4" w:space="0" w:color="293F5B"/>
              <w:right w:val="nil"/>
            </w:tcBorders>
            <w:shd w:val="clear" w:color="000000" w:fill="FFFFFF"/>
            <w:vAlign w:val="bottom"/>
            <w:hideMark/>
          </w:tcPr>
          <w:p w14:paraId="0BF97A24" w14:textId="77777777" w:rsidR="000B44B2" w:rsidRPr="000B44B2" w:rsidRDefault="000B44B2" w:rsidP="000B44B2">
            <w:pPr>
              <w:spacing w:before="0" w:after="0" w:line="240" w:lineRule="auto"/>
              <w:jc w:val="right"/>
              <w:rPr>
                <w:rFonts w:ascii="Arial" w:hAnsi="Arial" w:cs="Arial"/>
                <w:b/>
                <w:bCs/>
                <w:color w:val="000000"/>
                <w:sz w:val="16"/>
                <w:szCs w:val="16"/>
              </w:rPr>
            </w:pPr>
            <w:r w:rsidRPr="000B44B2">
              <w:rPr>
                <w:rFonts w:ascii="Arial" w:hAnsi="Arial" w:cs="Arial"/>
                <w:b/>
                <w:bCs/>
                <w:color w:val="000000"/>
                <w:sz w:val="16"/>
                <w:szCs w:val="16"/>
              </w:rPr>
              <w:t>339,198</w:t>
            </w:r>
          </w:p>
        </w:tc>
        <w:tc>
          <w:tcPr>
            <w:tcW w:w="672" w:type="pct"/>
            <w:tcBorders>
              <w:top w:val="single" w:sz="4" w:space="0" w:color="293F5B"/>
              <w:left w:val="nil"/>
              <w:bottom w:val="single" w:sz="4" w:space="0" w:color="293F5B"/>
              <w:right w:val="nil"/>
            </w:tcBorders>
            <w:shd w:val="clear" w:color="000000" w:fill="FFFFFF"/>
            <w:vAlign w:val="bottom"/>
            <w:hideMark/>
          </w:tcPr>
          <w:p w14:paraId="7CCF6B13" w14:textId="77777777" w:rsidR="000B44B2" w:rsidRPr="000B44B2" w:rsidRDefault="000B44B2" w:rsidP="000B44B2">
            <w:pPr>
              <w:spacing w:before="0" w:after="0" w:line="240" w:lineRule="auto"/>
              <w:jc w:val="right"/>
              <w:rPr>
                <w:rFonts w:ascii="Arial" w:hAnsi="Arial" w:cs="Arial"/>
                <w:b/>
                <w:bCs/>
                <w:color w:val="000000"/>
                <w:sz w:val="16"/>
                <w:szCs w:val="16"/>
              </w:rPr>
            </w:pPr>
            <w:r w:rsidRPr="000B44B2">
              <w:rPr>
                <w:rFonts w:ascii="Arial" w:hAnsi="Arial" w:cs="Arial"/>
                <w:b/>
                <w:bCs/>
                <w:color w:val="000000"/>
                <w:sz w:val="16"/>
                <w:szCs w:val="16"/>
              </w:rPr>
              <w:t>355,920</w:t>
            </w:r>
          </w:p>
        </w:tc>
        <w:tc>
          <w:tcPr>
            <w:tcW w:w="672" w:type="pct"/>
            <w:tcBorders>
              <w:top w:val="single" w:sz="4" w:space="0" w:color="293F5B"/>
              <w:left w:val="nil"/>
              <w:bottom w:val="single" w:sz="4" w:space="0" w:color="293F5B"/>
              <w:right w:val="nil"/>
            </w:tcBorders>
            <w:shd w:val="clear" w:color="000000" w:fill="FFFFFF"/>
            <w:vAlign w:val="bottom"/>
            <w:hideMark/>
          </w:tcPr>
          <w:p w14:paraId="3C4BBA5A" w14:textId="77777777" w:rsidR="000B44B2" w:rsidRPr="000B44B2" w:rsidRDefault="000B44B2" w:rsidP="000B44B2">
            <w:pPr>
              <w:spacing w:before="0" w:after="0" w:line="240" w:lineRule="auto"/>
              <w:jc w:val="right"/>
              <w:rPr>
                <w:rFonts w:ascii="Arial" w:hAnsi="Arial" w:cs="Arial"/>
                <w:b/>
                <w:bCs/>
                <w:color w:val="000000"/>
                <w:sz w:val="16"/>
                <w:szCs w:val="16"/>
              </w:rPr>
            </w:pPr>
            <w:r w:rsidRPr="000B44B2">
              <w:rPr>
                <w:rFonts w:ascii="Arial" w:hAnsi="Arial" w:cs="Arial"/>
                <w:b/>
                <w:bCs/>
                <w:color w:val="000000"/>
                <w:sz w:val="16"/>
                <w:szCs w:val="16"/>
              </w:rPr>
              <w:t>373,877</w:t>
            </w:r>
          </w:p>
        </w:tc>
      </w:tr>
    </w:tbl>
    <w:p w14:paraId="4033C796" w14:textId="57353D78" w:rsidR="00B95151" w:rsidRPr="00541595" w:rsidRDefault="00B95151" w:rsidP="00687545">
      <w:pPr>
        <w:pStyle w:val="SingleParagraph"/>
        <w:keepNext/>
        <w:spacing w:after="120" w:line="240" w:lineRule="auto"/>
        <w:rPr>
          <w:rFonts w:ascii="Arial" w:hAnsi="Arial" w:cs="Arial"/>
          <w:sz w:val="20"/>
        </w:rPr>
      </w:pPr>
    </w:p>
    <w:p w14:paraId="13A10E17" w14:textId="66C21F33" w:rsidR="006C4D3B" w:rsidRPr="00975120" w:rsidRDefault="006C4D3B" w:rsidP="00B95151">
      <w:pPr>
        <w:pStyle w:val="Heading5"/>
      </w:pPr>
      <w:r w:rsidRPr="00975120">
        <w:t>Future Fund</w:t>
      </w:r>
    </w:p>
    <w:p w14:paraId="56753E55" w14:textId="4C54486F" w:rsidR="00090A7B" w:rsidRDefault="00090A7B" w:rsidP="1ACD371D">
      <w:r w:rsidRPr="005B64B1">
        <w:t>The Future Fund was established in 2006 to accumulate financial assets and invest them on behalf of the Australian Government to address the Government’s unfunded superannuation liability. The Government provides guidance to the Future Fund Board of Guardians (the Future Fund Board) in relation to its investment strategy through the issuance of an investment mandate. The Board is independently responsible for the investment decisions of the Future Fund</w:t>
      </w:r>
      <w:r>
        <w:t>.</w:t>
      </w:r>
    </w:p>
    <w:p w14:paraId="24A63863" w14:textId="10C7E3E8" w:rsidR="006C4D3B" w:rsidRPr="00975120" w:rsidRDefault="001C2E6E" w:rsidP="00505633">
      <w:r w:rsidRPr="005B64B1">
        <w:t>The investment mandate for the Future Fund sets a benchmark rate of return of at least CPI plus 4.0 to 5.0</w:t>
      </w:r>
      <w:r w:rsidR="00B75994">
        <w:t> </w:t>
      </w:r>
      <w:r w:rsidRPr="005B64B1">
        <w:t>per</w:t>
      </w:r>
      <w:r w:rsidR="00B75994">
        <w:t> </w:t>
      </w:r>
      <w:r w:rsidRPr="005B64B1">
        <w:t>cent per annum over the long</w:t>
      </w:r>
      <w:r w:rsidR="00D425E7">
        <w:t>-</w:t>
      </w:r>
      <w:r w:rsidRPr="005B64B1">
        <w:t xml:space="preserve">term. It requires the Future Fund Board to </w:t>
      </w:r>
      <w:r w:rsidRPr="005B64B1">
        <w:lastRenderedPageBreak/>
        <w:t xml:space="preserve">have regard to national priorities in performing its investment functions. National priorities </w:t>
      </w:r>
      <w:proofErr w:type="gramStart"/>
      <w:r w:rsidRPr="005B64B1">
        <w:t>comprise:</w:t>
      </w:r>
      <w:proofErr w:type="gramEnd"/>
      <w:r w:rsidRPr="005B64B1">
        <w:t xml:space="preserve"> </w:t>
      </w:r>
      <w:r w:rsidRPr="002D408C">
        <w:t>supporting an energy transition as part of the net zero transformation of the Australian economy, increasing the supply of residential housing in Australia, and delivering improved infrastructure located in Australia</w:t>
      </w:r>
      <w:r w:rsidR="00B957B0">
        <w:t>.</w:t>
      </w:r>
      <w:r w:rsidRPr="005B64B1">
        <w:t xml:space="preserve"> The investment mandate also requires the Board to take an acceptable, but not excessive, level of risk, measured in terms such as the probability of losses in a particular year</w:t>
      </w:r>
      <w:r>
        <w:t>.</w:t>
      </w:r>
      <w:r w:rsidR="00B957B0">
        <w:t xml:space="preserve"> </w:t>
      </w:r>
    </w:p>
    <w:p w14:paraId="52C9C124" w14:textId="0E8D2DEC" w:rsidR="006C4D3B" w:rsidRPr="00975120" w:rsidRDefault="006C4D3B" w:rsidP="006C4D3B">
      <w:r w:rsidRPr="00975120">
        <w:t>Between establishment and 31 </w:t>
      </w:r>
      <w:r w:rsidR="001E065D">
        <w:t xml:space="preserve">December </w:t>
      </w:r>
      <w:r w:rsidRPr="00975120">
        <w:t>2024, the average return has been 7.8</w:t>
      </w:r>
      <w:r w:rsidRPr="00975120">
        <w:rPr>
          <w:rFonts w:hint="eastAsia"/>
        </w:rPr>
        <w:t> </w:t>
      </w:r>
      <w:r w:rsidRPr="00975120">
        <w:t>per</w:t>
      </w:r>
      <w:r w:rsidRPr="00975120">
        <w:rPr>
          <w:rFonts w:hint="eastAsia"/>
        </w:rPr>
        <w:t> </w:t>
      </w:r>
      <w:r w:rsidRPr="00975120">
        <w:t>cent</w:t>
      </w:r>
      <w:r w:rsidR="005B2EC9">
        <w:t xml:space="preserve"> </w:t>
      </w:r>
      <w:r w:rsidRPr="00975120">
        <w:t xml:space="preserve">per annum against the benchmark return of </w:t>
      </w:r>
      <w:r w:rsidR="00363A7F">
        <w:t>6.9</w:t>
      </w:r>
      <w:r w:rsidRPr="00975120">
        <w:rPr>
          <w:rFonts w:hint="eastAsia"/>
        </w:rPr>
        <w:t> </w:t>
      </w:r>
      <w:r w:rsidRPr="00975120">
        <w:t>per</w:t>
      </w:r>
      <w:r w:rsidRPr="00975120">
        <w:rPr>
          <w:rFonts w:hint="eastAsia"/>
        </w:rPr>
        <w:t> </w:t>
      </w:r>
      <w:r w:rsidRPr="00975120">
        <w:t>cent. For the 12</w:t>
      </w:r>
      <w:r w:rsidR="005344FD" w:rsidRPr="00975120">
        <w:noBreakHyphen/>
      </w:r>
      <w:r w:rsidRPr="00975120">
        <w:t>month period ending 31 </w:t>
      </w:r>
      <w:r w:rsidR="001E065D">
        <w:t xml:space="preserve">December </w:t>
      </w:r>
      <w:r w:rsidRPr="00975120">
        <w:t>2024, the Future Fund return was 1</w:t>
      </w:r>
      <w:r w:rsidR="00216B9F">
        <w:t>2.2</w:t>
      </w:r>
      <w:r w:rsidRPr="00975120">
        <w:rPr>
          <w:rFonts w:hint="eastAsia"/>
        </w:rPr>
        <w:t> </w:t>
      </w:r>
      <w:r w:rsidRPr="00975120">
        <w:t>per</w:t>
      </w:r>
      <w:r w:rsidRPr="00975120">
        <w:rPr>
          <w:rFonts w:hint="eastAsia"/>
        </w:rPr>
        <w:t> </w:t>
      </w:r>
      <w:r w:rsidRPr="00975120">
        <w:t xml:space="preserve">cent against a benchmark return of </w:t>
      </w:r>
      <w:r w:rsidR="00216B9F">
        <w:t>6</w:t>
      </w:r>
      <w:r w:rsidRPr="00975120">
        <w:t>.</w:t>
      </w:r>
      <w:r w:rsidR="00876BAC">
        <w:t>4</w:t>
      </w:r>
      <w:r w:rsidRPr="00975120">
        <w:rPr>
          <w:rFonts w:hint="eastAsia"/>
        </w:rPr>
        <w:t> </w:t>
      </w:r>
      <w:r w:rsidRPr="00975120">
        <w:t>per</w:t>
      </w:r>
      <w:r w:rsidRPr="00975120">
        <w:rPr>
          <w:rFonts w:hint="eastAsia"/>
        </w:rPr>
        <w:t> </w:t>
      </w:r>
      <w:r w:rsidRPr="00975120">
        <w:t xml:space="preserve">cent. The Future Fund was valued at </w:t>
      </w:r>
      <w:r w:rsidR="005D7691" w:rsidRPr="00403235">
        <w:t>$2</w:t>
      </w:r>
      <w:r w:rsidR="005D7691">
        <w:t>37</w:t>
      </w:r>
      <w:r w:rsidR="005D7691" w:rsidRPr="00403235">
        <w:t>.</w:t>
      </w:r>
      <w:r w:rsidR="005D7691">
        <w:t>9</w:t>
      </w:r>
      <w:r w:rsidR="005D7691" w:rsidRPr="00403235">
        <w:t xml:space="preserve"> billion as </w:t>
      </w:r>
      <w:proofErr w:type="gramStart"/>
      <w:r w:rsidR="005D7691" w:rsidRPr="00403235">
        <w:t>at</w:t>
      </w:r>
      <w:proofErr w:type="gramEnd"/>
      <w:r w:rsidR="005D7691" w:rsidRPr="00403235">
        <w:t xml:space="preserve"> 31 </w:t>
      </w:r>
      <w:r w:rsidR="005D7691">
        <w:t>December</w:t>
      </w:r>
      <w:r w:rsidR="005D7691" w:rsidRPr="00403235">
        <w:t> 2024</w:t>
      </w:r>
      <w:r w:rsidRPr="00975120">
        <w:t>.</w:t>
      </w:r>
    </w:p>
    <w:p w14:paraId="2103656F" w14:textId="563F8104" w:rsidR="006C4D3B" w:rsidRPr="00975120" w:rsidRDefault="006C4D3B" w:rsidP="006C4D3B">
      <w:r w:rsidRPr="00975120">
        <w:t xml:space="preserve">Table </w:t>
      </w:r>
      <w:r w:rsidR="00093E0F">
        <w:t>9</w:t>
      </w:r>
      <w:r w:rsidR="006E4557">
        <w:t>.</w:t>
      </w:r>
      <w:r w:rsidRPr="00975120">
        <w:t>B.2 shows changes in the asset allocation of the Future Fund since 31 </w:t>
      </w:r>
      <w:r w:rsidR="005D7691">
        <w:t>December</w:t>
      </w:r>
      <w:r w:rsidR="005B2EC9">
        <w:t> </w:t>
      </w:r>
      <w:r w:rsidRPr="00975120">
        <w:t>2023.</w:t>
      </w:r>
    </w:p>
    <w:p w14:paraId="0D03199E" w14:textId="1AAC1884" w:rsidR="00FA6793" w:rsidRDefault="006C4D3B" w:rsidP="00BF2131">
      <w:pPr>
        <w:pStyle w:val="TableHeading"/>
        <w:rPr>
          <w:rFonts w:asciiTheme="minorHAnsi" w:eastAsiaTheme="minorHAnsi" w:hAnsiTheme="minorHAnsi" w:cstheme="minorBidi"/>
          <w:b w:val="0"/>
          <w:sz w:val="22"/>
          <w:szCs w:val="22"/>
          <w:lang w:eastAsia="en-US"/>
        </w:rPr>
      </w:pPr>
      <w:r w:rsidRPr="00975120">
        <w:t>Table</w:t>
      </w:r>
      <w:r w:rsidRPr="00975120">
        <w:rPr>
          <w:spacing w:val="-9"/>
        </w:rPr>
        <w:t xml:space="preserve"> </w:t>
      </w:r>
      <w:r w:rsidR="007340F9">
        <w:t>9</w:t>
      </w:r>
      <w:r w:rsidR="006E4557">
        <w:t>.</w:t>
      </w:r>
      <w:r w:rsidRPr="00975120">
        <w:t>B.2:</w:t>
      </w:r>
      <w:r w:rsidRPr="00975120">
        <w:rPr>
          <w:spacing w:val="-6"/>
        </w:rPr>
        <w:t xml:space="preserve"> </w:t>
      </w:r>
      <w:r w:rsidRPr="00975120">
        <w:t>Asset</w:t>
      </w:r>
      <w:r w:rsidRPr="00975120">
        <w:rPr>
          <w:spacing w:val="-6"/>
        </w:rPr>
        <w:t xml:space="preserve"> </w:t>
      </w:r>
      <w:r w:rsidRPr="00975120">
        <w:t>allocation</w:t>
      </w:r>
      <w:r w:rsidRPr="00975120">
        <w:rPr>
          <w:spacing w:val="-5"/>
        </w:rPr>
        <w:t xml:space="preserve"> </w:t>
      </w:r>
      <w:r w:rsidRPr="00975120">
        <w:t>of</w:t>
      </w:r>
      <w:r w:rsidRPr="00975120">
        <w:rPr>
          <w:spacing w:val="-5"/>
        </w:rPr>
        <w:t xml:space="preserve"> </w:t>
      </w:r>
      <w:r w:rsidRPr="00975120">
        <w:t>the</w:t>
      </w:r>
      <w:r w:rsidRPr="00975120">
        <w:rPr>
          <w:spacing w:val="-6"/>
        </w:rPr>
        <w:t xml:space="preserve"> </w:t>
      </w:r>
      <w:r w:rsidRPr="00975120">
        <w:t>Future</w:t>
      </w:r>
      <w:r w:rsidRPr="00975120">
        <w:rPr>
          <w:spacing w:val="-6"/>
        </w:rPr>
        <w:t xml:space="preserve"> </w:t>
      </w:r>
      <w:r w:rsidRPr="00975120">
        <w:t>Fund</w:t>
      </w:r>
    </w:p>
    <w:tbl>
      <w:tblPr>
        <w:tblW w:w="5000" w:type="pct"/>
        <w:tblCellMar>
          <w:left w:w="0" w:type="dxa"/>
          <w:right w:w="28" w:type="dxa"/>
        </w:tblCellMar>
        <w:tblLook w:val="04A0" w:firstRow="1" w:lastRow="0" w:firstColumn="1" w:lastColumn="0" w:noHBand="0" w:noVBand="1"/>
      </w:tblPr>
      <w:tblGrid>
        <w:gridCol w:w="2975"/>
        <w:gridCol w:w="1166"/>
        <w:gridCol w:w="1190"/>
        <w:gridCol w:w="1190"/>
        <w:gridCol w:w="1189"/>
      </w:tblGrid>
      <w:tr w:rsidR="00FA6793" w:rsidRPr="00FA6793" w14:paraId="3F195AC9" w14:textId="77777777" w:rsidTr="00FA6793">
        <w:trPr>
          <w:trHeight w:hRule="exact" w:val="230"/>
        </w:trPr>
        <w:tc>
          <w:tcPr>
            <w:tcW w:w="1929" w:type="pct"/>
            <w:tcBorders>
              <w:top w:val="single" w:sz="4" w:space="0" w:color="000000"/>
              <w:left w:val="nil"/>
              <w:bottom w:val="nil"/>
              <w:right w:val="nil"/>
            </w:tcBorders>
            <w:shd w:val="clear" w:color="000000" w:fill="FFFFFF"/>
            <w:vAlign w:val="center"/>
            <w:hideMark/>
          </w:tcPr>
          <w:p w14:paraId="70D0EE89" w14:textId="66029B0C" w:rsidR="00FA6793" w:rsidRPr="00FA6793" w:rsidRDefault="00FA6793" w:rsidP="00FA6793">
            <w:pPr>
              <w:spacing w:before="0" w:after="0" w:line="240" w:lineRule="auto"/>
              <w:rPr>
                <w:rFonts w:ascii="Arial" w:hAnsi="Arial" w:cs="Arial"/>
                <w:color w:val="000000"/>
                <w:sz w:val="16"/>
                <w:szCs w:val="16"/>
              </w:rPr>
            </w:pPr>
            <w:r w:rsidRPr="00FA6793">
              <w:rPr>
                <w:rFonts w:ascii="Arial" w:hAnsi="Arial" w:cs="Arial"/>
                <w:color w:val="000000"/>
                <w:sz w:val="16"/>
                <w:szCs w:val="16"/>
              </w:rPr>
              <w:t>  </w:t>
            </w:r>
          </w:p>
        </w:tc>
        <w:tc>
          <w:tcPr>
            <w:tcW w:w="756" w:type="pct"/>
            <w:tcBorders>
              <w:top w:val="single" w:sz="4" w:space="0" w:color="000000"/>
              <w:left w:val="nil"/>
              <w:bottom w:val="nil"/>
              <w:right w:val="nil"/>
            </w:tcBorders>
            <w:shd w:val="clear" w:color="000000" w:fill="FFFFFF"/>
            <w:vAlign w:val="center"/>
            <w:hideMark/>
          </w:tcPr>
          <w:p w14:paraId="1A5BF9A1" w14:textId="77777777" w:rsidR="00FA6793" w:rsidRPr="00FA6793" w:rsidRDefault="00FA6793" w:rsidP="00FA6793">
            <w:pPr>
              <w:spacing w:before="0" w:after="0" w:line="240" w:lineRule="auto"/>
              <w:jc w:val="right"/>
              <w:rPr>
                <w:rFonts w:ascii="Arial" w:hAnsi="Arial" w:cs="Arial"/>
                <w:color w:val="000000"/>
                <w:sz w:val="16"/>
                <w:szCs w:val="16"/>
              </w:rPr>
            </w:pPr>
            <w:r w:rsidRPr="00FA6793">
              <w:rPr>
                <w:rFonts w:ascii="Arial" w:hAnsi="Arial" w:cs="Arial"/>
                <w:color w:val="000000"/>
                <w:sz w:val="16"/>
                <w:szCs w:val="16"/>
              </w:rPr>
              <w:t>31</w:t>
            </w:r>
            <w:r w:rsidRPr="00FA6793">
              <w:rPr>
                <w:rFonts w:ascii="Arial" w:hAnsi="Arial" w:cs="Arial"/>
                <w:color w:val="000000"/>
                <w:sz w:val="16"/>
                <w:szCs w:val="16"/>
              </w:rPr>
              <w:noBreakHyphen/>
              <w:t>Dec</w:t>
            </w:r>
            <w:r w:rsidRPr="00FA6793">
              <w:rPr>
                <w:rFonts w:ascii="Arial" w:hAnsi="Arial" w:cs="Arial"/>
                <w:color w:val="000000"/>
                <w:sz w:val="16"/>
                <w:szCs w:val="16"/>
              </w:rPr>
              <w:noBreakHyphen/>
              <w:t>24</w:t>
            </w:r>
          </w:p>
        </w:tc>
        <w:tc>
          <w:tcPr>
            <w:tcW w:w="772" w:type="pct"/>
            <w:tcBorders>
              <w:top w:val="single" w:sz="4" w:space="0" w:color="000000"/>
              <w:left w:val="nil"/>
              <w:bottom w:val="nil"/>
              <w:right w:val="nil"/>
            </w:tcBorders>
            <w:shd w:val="clear" w:color="000000" w:fill="FFFFFF"/>
            <w:vAlign w:val="center"/>
            <w:hideMark/>
          </w:tcPr>
          <w:p w14:paraId="558452B4" w14:textId="77777777" w:rsidR="00FA6793" w:rsidRPr="00FA6793" w:rsidRDefault="00FA6793" w:rsidP="00FA6793">
            <w:pPr>
              <w:spacing w:before="0" w:after="0" w:line="240" w:lineRule="auto"/>
              <w:jc w:val="right"/>
              <w:rPr>
                <w:rFonts w:ascii="Arial" w:hAnsi="Arial" w:cs="Arial"/>
                <w:color w:val="000000"/>
                <w:sz w:val="16"/>
                <w:szCs w:val="16"/>
              </w:rPr>
            </w:pPr>
            <w:r w:rsidRPr="00FA6793">
              <w:rPr>
                <w:rFonts w:ascii="Arial" w:hAnsi="Arial" w:cs="Arial"/>
                <w:color w:val="000000"/>
                <w:sz w:val="16"/>
                <w:szCs w:val="16"/>
              </w:rPr>
              <w:t>31</w:t>
            </w:r>
            <w:r w:rsidRPr="00FA6793">
              <w:rPr>
                <w:rFonts w:ascii="Arial" w:hAnsi="Arial" w:cs="Arial"/>
                <w:color w:val="000000"/>
                <w:sz w:val="16"/>
                <w:szCs w:val="16"/>
              </w:rPr>
              <w:noBreakHyphen/>
              <w:t>Dec</w:t>
            </w:r>
            <w:r w:rsidRPr="00FA6793">
              <w:rPr>
                <w:rFonts w:ascii="Arial" w:hAnsi="Arial" w:cs="Arial"/>
                <w:color w:val="000000"/>
                <w:sz w:val="16"/>
                <w:szCs w:val="16"/>
              </w:rPr>
              <w:noBreakHyphen/>
              <w:t>24</w:t>
            </w:r>
          </w:p>
        </w:tc>
        <w:tc>
          <w:tcPr>
            <w:tcW w:w="772" w:type="pct"/>
            <w:tcBorders>
              <w:top w:val="single" w:sz="4" w:space="0" w:color="000000"/>
              <w:left w:val="nil"/>
              <w:bottom w:val="nil"/>
              <w:right w:val="nil"/>
            </w:tcBorders>
            <w:shd w:val="clear" w:color="000000" w:fill="FFFFFF"/>
            <w:vAlign w:val="center"/>
            <w:hideMark/>
          </w:tcPr>
          <w:p w14:paraId="5065AC97" w14:textId="77777777" w:rsidR="00FA6793" w:rsidRPr="00FA6793" w:rsidRDefault="00FA6793" w:rsidP="00FA6793">
            <w:pPr>
              <w:spacing w:before="0" w:after="0" w:line="240" w:lineRule="auto"/>
              <w:jc w:val="right"/>
              <w:rPr>
                <w:rFonts w:ascii="Arial" w:hAnsi="Arial" w:cs="Arial"/>
                <w:color w:val="000000"/>
                <w:sz w:val="16"/>
                <w:szCs w:val="16"/>
              </w:rPr>
            </w:pPr>
            <w:r w:rsidRPr="00FA6793">
              <w:rPr>
                <w:rFonts w:ascii="Arial" w:hAnsi="Arial" w:cs="Arial"/>
                <w:color w:val="000000"/>
                <w:sz w:val="16"/>
                <w:szCs w:val="16"/>
              </w:rPr>
              <w:t>31</w:t>
            </w:r>
            <w:r w:rsidRPr="00FA6793">
              <w:rPr>
                <w:rFonts w:ascii="Arial" w:hAnsi="Arial" w:cs="Arial"/>
                <w:color w:val="000000"/>
                <w:sz w:val="16"/>
                <w:szCs w:val="16"/>
              </w:rPr>
              <w:noBreakHyphen/>
              <w:t>Dec</w:t>
            </w:r>
            <w:r w:rsidRPr="00FA6793">
              <w:rPr>
                <w:rFonts w:ascii="Arial" w:hAnsi="Arial" w:cs="Arial"/>
                <w:color w:val="000000"/>
                <w:sz w:val="16"/>
                <w:szCs w:val="16"/>
              </w:rPr>
              <w:noBreakHyphen/>
              <w:t>23</w:t>
            </w:r>
          </w:p>
        </w:tc>
        <w:tc>
          <w:tcPr>
            <w:tcW w:w="772" w:type="pct"/>
            <w:tcBorders>
              <w:top w:val="single" w:sz="4" w:space="0" w:color="000000"/>
              <w:left w:val="nil"/>
              <w:bottom w:val="nil"/>
              <w:right w:val="nil"/>
            </w:tcBorders>
            <w:shd w:val="clear" w:color="000000" w:fill="FFFFFF"/>
            <w:vAlign w:val="center"/>
            <w:hideMark/>
          </w:tcPr>
          <w:p w14:paraId="679AF797" w14:textId="77777777" w:rsidR="00FA6793" w:rsidRPr="00FA6793" w:rsidRDefault="00FA6793" w:rsidP="00FA6793">
            <w:pPr>
              <w:spacing w:before="0" w:after="0" w:line="240" w:lineRule="auto"/>
              <w:jc w:val="right"/>
              <w:rPr>
                <w:rFonts w:ascii="Arial" w:hAnsi="Arial" w:cs="Arial"/>
                <w:color w:val="000000"/>
                <w:sz w:val="16"/>
                <w:szCs w:val="16"/>
              </w:rPr>
            </w:pPr>
            <w:r w:rsidRPr="00FA6793">
              <w:rPr>
                <w:rFonts w:ascii="Arial" w:hAnsi="Arial" w:cs="Arial"/>
                <w:color w:val="000000"/>
                <w:sz w:val="16"/>
                <w:szCs w:val="16"/>
              </w:rPr>
              <w:t>31</w:t>
            </w:r>
            <w:r w:rsidRPr="00FA6793">
              <w:rPr>
                <w:rFonts w:ascii="Arial" w:hAnsi="Arial" w:cs="Arial"/>
                <w:color w:val="000000"/>
                <w:sz w:val="16"/>
                <w:szCs w:val="16"/>
              </w:rPr>
              <w:noBreakHyphen/>
              <w:t>Dec</w:t>
            </w:r>
            <w:r w:rsidRPr="00FA6793">
              <w:rPr>
                <w:rFonts w:ascii="Arial" w:hAnsi="Arial" w:cs="Arial"/>
                <w:color w:val="000000"/>
                <w:sz w:val="16"/>
                <w:szCs w:val="16"/>
              </w:rPr>
              <w:noBreakHyphen/>
              <w:t>23</w:t>
            </w:r>
          </w:p>
        </w:tc>
      </w:tr>
      <w:tr w:rsidR="00FA6793" w:rsidRPr="00FA6793" w14:paraId="0B837317" w14:textId="77777777" w:rsidTr="00FA6793">
        <w:trPr>
          <w:trHeight w:hRule="exact" w:val="230"/>
        </w:trPr>
        <w:tc>
          <w:tcPr>
            <w:tcW w:w="1929" w:type="pct"/>
            <w:tcBorders>
              <w:top w:val="nil"/>
              <w:left w:val="nil"/>
              <w:bottom w:val="single" w:sz="4" w:space="0" w:color="000000"/>
              <w:right w:val="nil"/>
            </w:tcBorders>
            <w:shd w:val="clear" w:color="000000" w:fill="FFFFFF"/>
            <w:vAlign w:val="center"/>
            <w:hideMark/>
          </w:tcPr>
          <w:p w14:paraId="4ABC9F52" w14:textId="77777777" w:rsidR="00FA6793" w:rsidRPr="00FA6793" w:rsidRDefault="00FA6793" w:rsidP="00FA6793">
            <w:pPr>
              <w:spacing w:before="0" w:after="0" w:line="240" w:lineRule="auto"/>
              <w:rPr>
                <w:rFonts w:ascii="Arial" w:hAnsi="Arial" w:cs="Arial"/>
                <w:color w:val="000000"/>
                <w:sz w:val="16"/>
                <w:szCs w:val="16"/>
              </w:rPr>
            </w:pPr>
            <w:r w:rsidRPr="00FA6793">
              <w:rPr>
                <w:rFonts w:ascii="Arial" w:hAnsi="Arial" w:cs="Arial"/>
                <w:color w:val="000000"/>
                <w:sz w:val="16"/>
                <w:szCs w:val="16"/>
              </w:rPr>
              <w:t>Asset class </w:t>
            </w:r>
          </w:p>
        </w:tc>
        <w:tc>
          <w:tcPr>
            <w:tcW w:w="756" w:type="pct"/>
            <w:tcBorders>
              <w:top w:val="nil"/>
              <w:left w:val="nil"/>
              <w:bottom w:val="single" w:sz="4" w:space="0" w:color="000000"/>
              <w:right w:val="nil"/>
            </w:tcBorders>
            <w:shd w:val="clear" w:color="000000" w:fill="FFFFFF"/>
            <w:vAlign w:val="center"/>
            <w:hideMark/>
          </w:tcPr>
          <w:p w14:paraId="4138DF83" w14:textId="77777777" w:rsidR="00FA6793" w:rsidRPr="00FA6793" w:rsidRDefault="00FA6793" w:rsidP="00FA6793">
            <w:pPr>
              <w:spacing w:before="0" w:after="0" w:line="240" w:lineRule="auto"/>
              <w:jc w:val="right"/>
              <w:rPr>
                <w:rFonts w:ascii="Arial" w:hAnsi="Arial" w:cs="Arial"/>
                <w:color w:val="000000"/>
                <w:sz w:val="16"/>
                <w:szCs w:val="16"/>
              </w:rPr>
            </w:pPr>
            <w:r w:rsidRPr="00FA6793">
              <w:rPr>
                <w:rFonts w:ascii="Arial" w:hAnsi="Arial" w:cs="Arial"/>
                <w:color w:val="000000"/>
                <w:sz w:val="16"/>
                <w:szCs w:val="16"/>
              </w:rPr>
              <w:t>$m </w:t>
            </w:r>
          </w:p>
        </w:tc>
        <w:tc>
          <w:tcPr>
            <w:tcW w:w="772" w:type="pct"/>
            <w:tcBorders>
              <w:top w:val="nil"/>
              <w:left w:val="nil"/>
              <w:bottom w:val="single" w:sz="4" w:space="0" w:color="000000"/>
              <w:right w:val="nil"/>
            </w:tcBorders>
            <w:shd w:val="clear" w:color="000000" w:fill="FFFFFF"/>
            <w:vAlign w:val="center"/>
            <w:hideMark/>
          </w:tcPr>
          <w:p w14:paraId="3DE36C72" w14:textId="77777777" w:rsidR="00FA6793" w:rsidRPr="00FA6793" w:rsidRDefault="00FA6793" w:rsidP="00FA6793">
            <w:pPr>
              <w:spacing w:before="0" w:after="0" w:line="240" w:lineRule="auto"/>
              <w:jc w:val="right"/>
              <w:rPr>
                <w:rFonts w:ascii="Arial" w:hAnsi="Arial" w:cs="Arial"/>
                <w:color w:val="000000"/>
                <w:sz w:val="16"/>
                <w:szCs w:val="16"/>
              </w:rPr>
            </w:pPr>
            <w:r w:rsidRPr="00FA6793">
              <w:rPr>
                <w:rFonts w:ascii="Arial" w:hAnsi="Arial" w:cs="Arial"/>
                <w:color w:val="000000"/>
                <w:sz w:val="16"/>
                <w:szCs w:val="16"/>
              </w:rPr>
              <w:t>% of Fund </w:t>
            </w:r>
          </w:p>
        </w:tc>
        <w:tc>
          <w:tcPr>
            <w:tcW w:w="772" w:type="pct"/>
            <w:tcBorders>
              <w:top w:val="nil"/>
              <w:left w:val="nil"/>
              <w:bottom w:val="single" w:sz="4" w:space="0" w:color="000000"/>
              <w:right w:val="nil"/>
            </w:tcBorders>
            <w:shd w:val="clear" w:color="000000" w:fill="FFFFFF"/>
            <w:vAlign w:val="center"/>
            <w:hideMark/>
          </w:tcPr>
          <w:p w14:paraId="58C432AB" w14:textId="77777777" w:rsidR="00FA6793" w:rsidRPr="00FA6793" w:rsidRDefault="00FA6793" w:rsidP="00FA6793">
            <w:pPr>
              <w:spacing w:before="0" w:after="0" w:line="240" w:lineRule="auto"/>
              <w:jc w:val="right"/>
              <w:rPr>
                <w:rFonts w:ascii="Arial" w:hAnsi="Arial" w:cs="Arial"/>
                <w:color w:val="000000"/>
                <w:sz w:val="16"/>
                <w:szCs w:val="16"/>
              </w:rPr>
            </w:pPr>
            <w:r w:rsidRPr="00FA6793">
              <w:rPr>
                <w:rFonts w:ascii="Arial" w:hAnsi="Arial" w:cs="Arial"/>
                <w:color w:val="000000"/>
                <w:sz w:val="16"/>
                <w:szCs w:val="16"/>
              </w:rPr>
              <w:t>$m </w:t>
            </w:r>
          </w:p>
        </w:tc>
        <w:tc>
          <w:tcPr>
            <w:tcW w:w="772" w:type="pct"/>
            <w:tcBorders>
              <w:top w:val="nil"/>
              <w:left w:val="nil"/>
              <w:bottom w:val="single" w:sz="4" w:space="0" w:color="000000"/>
              <w:right w:val="nil"/>
            </w:tcBorders>
            <w:shd w:val="clear" w:color="000000" w:fill="FFFFFF"/>
            <w:vAlign w:val="center"/>
            <w:hideMark/>
          </w:tcPr>
          <w:p w14:paraId="79D8C17B" w14:textId="77777777" w:rsidR="00FA6793" w:rsidRPr="00FA6793" w:rsidRDefault="00FA6793" w:rsidP="00FA6793">
            <w:pPr>
              <w:spacing w:before="0" w:after="0" w:line="240" w:lineRule="auto"/>
              <w:jc w:val="right"/>
              <w:rPr>
                <w:rFonts w:ascii="Arial" w:hAnsi="Arial" w:cs="Arial"/>
                <w:color w:val="000000"/>
                <w:sz w:val="16"/>
                <w:szCs w:val="16"/>
              </w:rPr>
            </w:pPr>
            <w:r w:rsidRPr="00FA6793">
              <w:rPr>
                <w:rFonts w:ascii="Arial" w:hAnsi="Arial" w:cs="Arial"/>
                <w:color w:val="000000"/>
                <w:sz w:val="16"/>
                <w:szCs w:val="16"/>
              </w:rPr>
              <w:t>% of Fund </w:t>
            </w:r>
          </w:p>
        </w:tc>
      </w:tr>
      <w:tr w:rsidR="00FA6793" w:rsidRPr="00FA6793" w14:paraId="1A6EB9CB" w14:textId="77777777" w:rsidTr="00FA6793">
        <w:trPr>
          <w:trHeight w:hRule="exact" w:val="230"/>
        </w:trPr>
        <w:tc>
          <w:tcPr>
            <w:tcW w:w="1929" w:type="pct"/>
            <w:tcBorders>
              <w:top w:val="nil"/>
              <w:left w:val="nil"/>
              <w:bottom w:val="nil"/>
              <w:right w:val="nil"/>
            </w:tcBorders>
            <w:shd w:val="clear" w:color="000000" w:fill="FFFFFF"/>
            <w:vAlign w:val="center"/>
            <w:hideMark/>
          </w:tcPr>
          <w:p w14:paraId="4CE2DFF1" w14:textId="77777777" w:rsidR="00FA6793" w:rsidRPr="00FA6793" w:rsidRDefault="00FA6793" w:rsidP="00FA6793">
            <w:pPr>
              <w:spacing w:before="0" w:after="0" w:line="240" w:lineRule="auto"/>
              <w:rPr>
                <w:rFonts w:ascii="Arial" w:hAnsi="Arial" w:cs="Arial"/>
                <w:color w:val="000000"/>
                <w:sz w:val="16"/>
                <w:szCs w:val="16"/>
              </w:rPr>
            </w:pPr>
            <w:r w:rsidRPr="00FA6793">
              <w:rPr>
                <w:rFonts w:ascii="Arial" w:hAnsi="Arial" w:cs="Arial"/>
                <w:color w:val="000000"/>
                <w:sz w:val="16"/>
                <w:szCs w:val="16"/>
              </w:rPr>
              <w:t>Australian equities </w:t>
            </w:r>
          </w:p>
        </w:tc>
        <w:tc>
          <w:tcPr>
            <w:tcW w:w="756" w:type="pct"/>
            <w:tcBorders>
              <w:top w:val="nil"/>
              <w:left w:val="nil"/>
              <w:bottom w:val="nil"/>
              <w:right w:val="nil"/>
            </w:tcBorders>
            <w:shd w:val="clear" w:color="000000" w:fill="FFFFFF"/>
            <w:vAlign w:val="center"/>
            <w:hideMark/>
          </w:tcPr>
          <w:p w14:paraId="36B60F4C" w14:textId="77777777" w:rsidR="00FA6793" w:rsidRPr="00FA6793" w:rsidRDefault="00FA6793" w:rsidP="00FA6793">
            <w:pPr>
              <w:spacing w:before="0" w:after="0" w:line="240" w:lineRule="auto"/>
              <w:jc w:val="right"/>
              <w:rPr>
                <w:rFonts w:ascii="Arial" w:hAnsi="Arial" w:cs="Arial"/>
                <w:color w:val="000000"/>
                <w:sz w:val="16"/>
                <w:szCs w:val="16"/>
              </w:rPr>
            </w:pPr>
            <w:r w:rsidRPr="00FA6793">
              <w:rPr>
                <w:rFonts w:ascii="Arial" w:hAnsi="Arial" w:cs="Arial"/>
                <w:color w:val="000000"/>
                <w:sz w:val="16"/>
                <w:szCs w:val="16"/>
              </w:rPr>
              <w:t>24,808</w:t>
            </w:r>
          </w:p>
        </w:tc>
        <w:tc>
          <w:tcPr>
            <w:tcW w:w="772" w:type="pct"/>
            <w:tcBorders>
              <w:top w:val="nil"/>
              <w:left w:val="nil"/>
              <w:bottom w:val="nil"/>
              <w:right w:val="nil"/>
            </w:tcBorders>
            <w:shd w:val="clear" w:color="000000" w:fill="FFFFFF"/>
            <w:vAlign w:val="center"/>
            <w:hideMark/>
          </w:tcPr>
          <w:p w14:paraId="01759BEC" w14:textId="77777777" w:rsidR="00FA6793" w:rsidRPr="00FA6793" w:rsidRDefault="00FA6793" w:rsidP="00FA6793">
            <w:pPr>
              <w:spacing w:before="0" w:after="0" w:line="240" w:lineRule="auto"/>
              <w:jc w:val="right"/>
              <w:rPr>
                <w:rFonts w:ascii="Arial" w:hAnsi="Arial" w:cs="Arial"/>
                <w:color w:val="000000"/>
                <w:sz w:val="16"/>
                <w:szCs w:val="16"/>
              </w:rPr>
            </w:pPr>
            <w:r w:rsidRPr="00FA6793">
              <w:rPr>
                <w:rFonts w:ascii="Arial" w:hAnsi="Arial" w:cs="Arial"/>
                <w:color w:val="000000"/>
                <w:sz w:val="16"/>
                <w:szCs w:val="16"/>
              </w:rPr>
              <w:t>10.4</w:t>
            </w:r>
          </w:p>
        </w:tc>
        <w:tc>
          <w:tcPr>
            <w:tcW w:w="772" w:type="pct"/>
            <w:tcBorders>
              <w:top w:val="nil"/>
              <w:left w:val="nil"/>
              <w:bottom w:val="nil"/>
              <w:right w:val="nil"/>
            </w:tcBorders>
            <w:shd w:val="clear" w:color="000000" w:fill="FFFFFF"/>
            <w:vAlign w:val="center"/>
            <w:hideMark/>
          </w:tcPr>
          <w:p w14:paraId="17EB60E3" w14:textId="77777777" w:rsidR="00FA6793" w:rsidRPr="00FA6793" w:rsidRDefault="00FA6793" w:rsidP="00FA6793">
            <w:pPr>
              <w:spacing w:before="0" w:after="0" w:line="240" w:lineRule="auto"/>
              <w:jc w:val="right"/>
              <w:rPr>
                <w:rFonts w:ascii="Arial" w:hAnsi="Arial" w:cs="Arial"/>
                <w:color w:val="000000"/>
                <w:sz w:val="16"/>
                <w:szCs w:val="16"/>
              </w:rPr>
            </w:pPr>
            <w:r w:rsidRPr="00FA6793">
              <w:rPr>
                <w:rFonts w:ascii="Arial" w:hAnsi="Arial" w:cs="Arial"/>
                <w:color w:val="000000"/>
                <w:sz w:val="16"/>
                <w:szCs w:val="16"/>
              </w:rPr>
              <w:t>20,408</w:t>
            </w:r>
          </w:p>
        </w:tc>
        <w:tc>
          <w:tcPr>
            <w:tcW w:w="772" w:type="pct"/>
            <w:tcBorders>
              <w:top w:val="nil"/>
              <w:left w:val="nil"/>
              <w:bottom w:val="nil"/>
              <w:right w:val="nil"/>
            </w:tcBorders>
            <w:shd w:val="clear" w:color="000000" w:fill="FFFFFF"/>
            <w:vAlign w:val="center"/>
            <w:hideMark/>
          </w:tcPr>
          <w:p w14:paraId="3BF0A820" w14:textId="77777777" w:rsidR="00FA6793" w:rsidRPr="00FA6793" w:rsidRDefault="00FA6793" w:rsidP="00FA6793">
            <w:pPr>
              <w:spacing w:before="0" w:after="0" w:line="240" w:lineRule="auto"/>
              <w:jc w:val="right"/>
              <w:rPr>
                <w:rFonts w:ascii="Arial" w:hAnsi="Arial" w:cs="Arial"/>
                <w:color w:val="000000"/>
                <w:sz w:val="16"/>
                <w:szCs w:val="16"/>
              </w:rPr>
            </w:pPr>
            <w:r w:rsidRPr="00FA6793">
              <w:rPr>
                <w:rFonts w:ascii="Arial" w:hAnsi="Arial" w:cs="Arial"/>
                <w:color w:val="000000"/>
                <w:sz w:val="16"/>
                <w:szCs w:val="16"/>
              </w:rPr>
              <w:t>9.6</w:t>
            </w:r>
          </w:p>
        </w:tc>
      </w:tr>
      <w:tr w:rsidR="00FA6793" w:rsidRPr="00FA6793" w14:paraId="130800D3" w14:textId="77777777" w:rsidTr="00FA6793">
        <w:trPr>
          <w:trHeight w:hRule="exact" w:val="230"/>
        </w:trPr>
        <w:tc>
          <w:tcPr>
            <w:tcW w:w="1929" w:type="pct"/>
            <w:tcBorders>
              <w:top w:val="nil"/>
              <w:left w:val="nil"/>
              <w:bottom w:val="nil"/>
              <w:right w:val="nil"/>
            </w:tcBorders>
            <w:shd w:val="clear" w:color="000000" w:fill="FFFFFF"/>
            <w:vAlign w:val="center"/>
            <w:hideMark/>
          </w:tcPr>
          <w:p w14:paraId="24DA5A98" w14:textId="77777777" w:rsidR="00FA6793" w:rsidRPr="00FA6793" w:rsidRDefault="00FA6793" w:rsidP="00FA6793">
            <w:pPr>
              <w:spacing w:before="0" w:after="0" w:line="240" w:lineRule="auto"/>
              <w:rPr>
                <w:rFonts w:ascii="Arial" w:hAnsi="Arial" w:cs="Arial"/>
                <w:color w:val="000000"/>
                <w:sz w:val="16"/>
                <w:szCs w:val="16"/>
              </w:rPr>
            </w:pPr>
            <w:r w:rsidRPr="00FA6793">
              <w:rPr>
                <w:rFonts w:ascii="Arial" w:hAnsi="Arial" w:cs="Arial"/>
                <w:color w:val="000000"/>
                <w:sz w:val="16"/>
                <w:szCs w:val="16"/>
              </w:rPr>
              <w:t>Global equities </w:t>
            </w:r>
          </w:p>
        </w:tc>
        <w:tc>
          <w:tcPr>
            <w:tcW w:w="756" w:type="pct"/>
            <w:tcBorders>
              <w:top w:val="nil"/>
              <w:left w:val="nil"/>
              <w:bottom w:val="nil"/>
              <w:right w:val="nil"/>
            </w:tcBorders>
            <w:shd w:val="clear" w:color="000000" w:fill="FFFFFF"/>
            <w:vAlign w:val="center"/>
            <w:hideMark/>
          </w:tcPr>
          <w:p w14:paraId="67D23562" w14:textId="77777777" w:rsidR="00FA6793" w:rsidRPr="00FA6793" w:rsidRDefault="00FA6793" w:rsidP="00FA6793">
            <w:pPr>
              <w:spacing w:before="0" w:after="0" w:line="240" w:lineRule="auto"/>
              <w:jc w:val="right"/>
              <w:rPr>
                <w:rFonts w:ascii="Arial" w:hAnsi="Arial" w:cs="Arial"/>
                <w:color w:val="000000"/>
                <w:sz w:val="16"/>
                <w:szCs w:val="16"/>
              </w:rPr>
            </w:pPr>
            <w:r w:rsidRPr="00FA6793">
              <w:rPr>
                <w:rFonts w:ascii="Arial" w:hAnsi="Arial" w:cs="Arial"/>
                <w:color w:val="000000"/>
                <w:sz w:val="16"/>
                <w:szCs w:val="16"/>
              </w:rPr>
              <w:t>  </w:t>
            </w:r>
          </w:p>
        </w:tc>
        <w:tc>
          <w:tcPr>
            <w:tcW w:w="772" w:type="pct"/>
            <w:tcBorders>
              <w:top w:val="nil"/>
              <w:left w:val="nil"/>
              <w:bottom w:val="nil"/>
              <w:right w:val="nil"/>
            </w:tcBorders>
            <w:shd w:val="clear" w:color="000000" w:fill="FFFFFF"/>
            <w:vAlign w:val="center"/>
            <w:hideMark/>
          </w:tcPr>
          <w:p w14:paraId="0656EB57" w14:textId="77777777" w:rsidR="00FA6793" w:rsidRPr="00FA6793" w:rsidRDefault="00FA6793" w:rsidP="00FA6793">
            <w:pPr>
              <w:spacing w:before="0" w:after="0" w:line="240" w:lineRule="auto"/>
              <w:jc w:val="right"/>
              <w:rPr>
                <w:rFonts w:ascii="Arial" w:hAnsi="Arial" w:cs="Arial"/>
                <w:color w:val="000000"/>
                <w:sz w:val="16"/>
                <w:szCs w:val="16"/>
              </w:rPr>
            </w:pPr>
            <w:r w:rsidRPr="00FA6793">
              <w:rPr>
                <w:rFonts w:ascii="Arial" w:hAnsi="Arial" w:cs="Arial"/>
                <w:color w:val="000000"/>
                <w:sz w:val="16"/>
                <w:szCs w:val="16"/>
              </w:rPr>
              <w:t>  </w:t>
            </w:r>
          </w:p>
        </w:tc>
        <w:tc>
          <w:tcPr>
            <w:tcW w:w="772" w:type="pct"/>
            <w:tcBorders>
              <w:top w:val="nil"/>
              <w:left w:val="nil"/>
              <w:bottom w:val="nil"/>
              <w:right w:val="nil"/>
            </w:tcBorders>
            <w:shd w:val="clear" w:color="000000" w:fill="FFFFFF"/>
            <w:vAlign w:val="center"/>
            <w:hideMark/>
          </w:tcPr>
          <w:p w14:paraId="4F8F09F3" w14:textId="77777777" w:rsidR="00FA6793" w:rsidRPr="00FA6793" w:rsidRDefault="00FA6793" w:rsidP="00FA6793">
            <w:pPr>
              <w:spacing w:before="0" w:after="0" w:line="240" w:lineRule="auto"/>
              <w:jc w:val="right"/>
              <w:rPr>
                <w:rFonts w:ascii="Arial" w:hAnsi="Arial" w:cs="Arial"/>
                <w:color w:val="000000"/>
                <w:sz w:val="16"/>
                <w:szCs w:val="16"/>
              </w:rPr>
            </w:pPr>
            <w:r w:rsidRPr="00FA6793">
              <w:rPr>
                <w:rFonts w:ascii="Arial" w:hAnsi="Arial" w:cs="Arial"/>
                <w:color w:val="000000"/>
                <w:sz w:val="16"/>
                <w:szCs w:val="16"/>
              </w:rPr>
              <w:t>  </w:t>
            </w:r>
          </w:p>
        </w:tc>
        <w:tc>
          <w:tcPr>
            <w:tcW w:w="772" w:type="pct"/>
            <w:tcBorders>
              <w:top w:val="nil"/>
              <w:left w:val="nil"/>
              <w:bottom w:val="nil"/>
              <w:right w:val="nil"/>
            </w:tcBorders>
            <w:shd w:val="clear" w:color="000000" w:fill="FFFFFF"/>
            <w:vAlign w:val="center"/>
            <w:hideMark/>
          </w:tcPr>
          <w:p w14:paraId="3D7D8299" w14:textId="77777777" w:rsidR="00FA6793" w:rsidRPr="00FA6793" w:rsidRDefault="00FA6793" w:rsidP="00FA6793">
            <w:pPr>
              <w:spacing w:before="0" w:after="0" w:line="240" w:lineRule="auto"/>
              <w:jc w:val="right"/>
              <w:rPr>
                <w:rFonts w:ascii="Arial" w:hAnsi="Arial" w:cs="Arial"/>
                <w:color w:val="000000"/>
                <w:sz w:val="16"/>
                <w:szCs w:val="16"/>
              </w:rPr>
            </w:pPr>
            <w:r w:rsidRPr="00FA6793">
              <w:rPr>
                <w:rFonts w:ascii="Arial" w:hAnsi="Arial" w:cs="Arial"/>
                <w:color w:val="000000"/>
                <w:sz w:val="16"/>
                <w:szCs w:val="16"/>
              </w:rPr>
              <w:t>  </w:t>
            </w:r>
          </w:p>
        </w:tc>
      </w:tr>
      <w:tr w:rsidR="00FA6793" w:rsidRPr="00FA6793" w14:paraId="7D38EA8E" w14:textId="77777777" w:rsidTr="00FA6793">
        <w:trPr>
          <w:trHeight w:hRule="exact" w:val="230"/>
        </w:trPr>
        <w:tc>
          <w:tcPr>
            <w:tcW w:w="1929" w:type="pct"/>
            <w:tcBorders>
              <w:top w:val="nil"/>
              <w:left w:val="nil"/>
              <w:bottom w:val="nil"/>
              <w:right w:val="nil"/>
            </w:tcBorders>
            <w:shd w:val="clear" w:color="000000" w:fill="FFFFFF"/>
            <w:vAlign w:val="center"/>
            <w:hideMark/>
          </w:tcPr>
          <w:p w14:paraId="35145EF1" w14:textId="77777777" w:rsidR="00FA6793" w:rsidRPr="00FA6793" w:rsidRDefault="00FA6793" w:rsidP="00FA6793">
            <w:pPr>
              <w:spacing w:before="0" w:after="0" w:line="240" w:lineRule="auto"/>
              <w:rPr>
                <w:rFonts w:ascii="Arial" w:hAnsi="Arial" w:cs="Arial"/>
                <w:i/>
                <w:iCs/>
                <w:color w:val="000000"/>
                <w:sz w:val="16"/>
                <w:szCs w:val="16"/>
              </w:rPr>
            </w:pPr>
            <w:r w:rsidRPr="00FA6793">
              <w:rPr>
                <w:rFonts w:ascii="Arial" w:hAnsi="Arial" w:cs="Arial"/>
                <w:i/>
                <w:iCs/>
                <w:color w:val="000000"/>
                <w:sz w:val="16"/>
                <w:szCs w:val="16"/>
              </w:rPr>
              <w:t>   Developed markets</w:t>
            </w:r>
            <w:r w:rsidRPr="00FA6793">
              <w:rPr>
                <w:rFonts w:ascii="Arial" w:hAnsi="Arial" w:cs="Arial"/>
                <w:color w:val="000000"/>
                <w:sz w:val="16"/>
                <w:szCs w:val="16"/>
              </w:rPr>
              <w:t> </w:t>
            </w:r>
          </w:p>
        </w:tc>
        <w:tc>
          <w:tcPr>
            <w:tcW w:w="756" w:type="pct"/>
            <w:tcBorders>
              <w:top w:val="nil"/>
              <w:left w:val="nil"/>
              <w:bottom w:val="nil"/>
              <w:right w:val="nil"/>
            </w:tcBorders>
            <w:shd w:val="clear" w:color="000000" w:fill="FFFFFF"/>
            <w:vAlign w:val="center"/>
            <w:hideMark/>
          </w:tcPr>
          <w:p w14:paraId="698B178B" w14:textId="77777777" w:rsidR="00FA6793" w:rsidRPr="00FA6793" w:rsidRDefault="00FA6793" w:rsidP="00FA6793">
            <w:pPr>
              <w:spacing w:before="0" w:after="0" w:line="240" w:lineRule="auto"/>
              <w:jc w:val="right"/>
              <w:rPr>
                <w:rFonts w:ascii="Arial" w:hAnsi="Arial" w:cs="Arial"/>
                <w:color w:val="000000"/>
                <w:sz w:val="16"/>
                <w:szCs w:val="16"/>
              </w:rPr>
            </w:pPr>
            <w:r w:rsidRPr="00FA6793">
              <w:rPr>
                <w:rFonts w:ascii="Arial" w:hAnsi="Arial" w:cs="Arial"/>
                <w:color w:val="000000"/>
                <w:sz w:val="16"/>
                <w:szCs w:val="16"/>
              </w:rPr>
              <w:t>58,868</w:t>
            </w:r>
          </w:p>
        </w:tc>
        <w:tc>
          <w:tcPr>
            <w:tcW w:w="772" w:type="pct"/>
            <w:tcBorders>
              <w:top w:val="nil"/>
              <w:left w:val="nil"/>
              <w:bottom w:val="nil"/>
              <w:right w:val="nil"/>
            </w:tcBorders>
            <w:shd w:val="clear" w:color="000000" w:fill="FFFFFF"/>
            <w:vAlign w:val="center"/>
            <w:hideMark/>
          </w:tcPr>
          <w:p w14:paraId="18132117" w14:textId="77777777" w:rsidR="00FA6793" w:rsidRPr="00FA6793" w:rsidRDefault="00FA6793" w:rsidP="00FA6793">
            <w:pPr>
              <w:spacing w:before="0" w:after="0" w:line="240" w:lineRule="auto"/>
              <w:jc w:val="right"/>
              <w:rPr>
                <w:rFonts w:ascii="Arial" w:hAnsi="Arial" w:cs="Arial"/>
                <w:color w:val="000000"/>
                <w:sz w:val="16"/>
                <w:szCs w:val="16"/>
              </w:rPr>
            </w:pPr>
            <w:r w:rsidRPr="00FA6793">
              <w:rPr>
                <w:rFonts w:ascii="Arial" w:hAnsi="Arial" w:cs="Arial"/>
                <w:color w:val="000000"/>
                <w:sz w:val="16"/>
                <w:szCs w:val="16"/>
              </w:rPr>
              <w:t>24.7</w:t>
            </w:r>
          </w:p>
        </w:tc>
        <w:tc>
          <w:tcPr>
            <w:tcW w:w="772" w:type="pct"/>
            <w:tcBorders>
              <w:top w:val="nil"/>
              <w:left w:val="nil"/>
              <w:bottom w:val="nil"/>
              <w:right w:val="nil"/>
            </w:tcBorders>
            <w:shd w:val="clear" w:color="000000" w:fill="FFFFFF"/>
            <w:vAlign w:val="center"/>
            <w:hideMark/>
          </w:tcPr>
          <w:p w14:paraId="30E930EB" w14:textId="77777777" w:rsidR="00FA6793" w:rsidRPr="00FA6793" w:rsidRDefault="00FA6793" w:rsidP="00FA6793">
            <w:pPr>
              <w:spacing w:before="0" w:after="0" w:line="240" w:lineRule="auto"/>
              <w:jc w:val="right"/>
              <w:rPr>
                <w:rFonts w:ascii="Arial" w:hAnsi="Arial" w:cs="Arial"/>
                <w:color w:val="000000"/>
                <w:sz w:val="16"/>
                <w:szCs w:val="16"/>
              </w:rPr>
            </w:pPr>
            <w:r w:rsidRPr="00FA6793">
              <w:rPr>
                <w:rFonts w:ascii="Arial" w:hAnsi="Arial" w:cs="Arial"/>
                <w:color w:val="000000"/>
                <w:sz w:val="16"/>
                <w:szCs w:val="16"/>
              </w:rPr>
              <w:t>37,734</w:t>
            </w:r>
          </w:p>
        </w:tc>
        <w:tc>
          <w:tcPr>
            <w:tcW w:w="772" w:type="pct"/>
            <w:tcBorders>
              <w:top w:val="nil"/>
              <w:left w:val="nil"/>
              <w:bottom w:val="nil"/>
              <w:right w:val="nil"/>
            </w:tcBorders>
            <w:shd w:val="clear" w:color="000000" w:fill="FFFFFF"/>
            <w:vAlign w:val="center"/>
            <w:hideMark/>
          </w:tcPr>
          <w:p w14:paraId="7D067EBC" w14:textId="77777777" w:rsidR="00FA6793" w:rsidRPr="00FA6793" w:rsidRDefault="00FA6793" w:rsidP="00FA6793">
            <w:pPr>
              <w:spacing w:before="0" w:after="0" w:line="240" w:lineRule="auto"/>
              <w:jc w:val="right"/>
              <w:rPr>
                <w:rFonts w:ascii="Arial" w:hAnsi="Arial" w:cs="Arial"/>
                <w:color w:val="000000"/>
                <w:sz w:val="16"/>
                <w:szCs w:val="16"/>
              </w:rPr>
            </w:pPr>
            <w:r w:rsidRPr="00FA6793">
              <w:rPr>
                <w:rFonts w:ascii="Arial" w:hAnsi="Arial" w:cs="Arial"/>
                <w:color w:val="000000"/>
                <w:sz w:val="16"/>
                <w:szCs w:val="16"/>
              </w:rPr>
              <w:t>17.8</w:t>
            </w:r>
          </w:p>
        </w:tc>
      </w:tr>
      <w:tr w:rsidR="00FA6793" w:rsidRPr="00FA6793" w14:paraId="005A40A7" w14:textId="77777777" w:rsidTr="00FA6793">
        <w:trPr>
          <w:trHeight w:hRule="exact" w:val="230"/>
        </w:trPr>
        <w:tc>
          <w:tcPr>
            <w:tcW w:w="1929" w:type="pct"/>
            <w:tcBorders>
              <w:top w:val="nil"/>
              <w:left w:val="nil"/>
              <w:bottom w:val="nil"/>
              <w:right w:val="nil"/>
            </w:tcBorders>
            <w:shd w:val="clear" w:color="000000" w:fill="FFFFFF"/>
            <w:vAlign w:val="center"/>
            <w:hideMark/>
          </w:tcPr>
          <w:p w14:paraId="0B8B37F5" w14:textId="77777777" w:rsidR="00FA6793" w:rsidRPr="00FA6793" w:rsidRDefault="00FA6793" w:rsidP="00FA6793">
            <w:pPr>
              <w:spacing w:before="0" w:after="0" w:line="240" w:lineRule="auto"/>
              <w:rPr>
                <w:rFonts w:ascii="Arial" w:hAnsi="Arial" w:cs="Arial"/>
                <w:i/>
                <w:iCs/>
                <w:color w:val="000000"/>
                <w:sz w:val="16"/>
                <w:szCs w:val="16"/>
              </w:rPr>
            </w:pPr>
            <w:r w:rsidRPr="00FA6793">
              <w:rPr>
                <w:rFonts w:ascii="Arial" w:hAnsi="Arial" w:cs="Arial"/>
                <w:i/>
                <w:iCs/>
                <w:color w:val="000000"/>
                <w:sz w:val="16"/>
                <w:szCs w:val="16"/>
              </w:rPr>
              <w:t>   Emerging markets</w:t>
            </w:r>
            <w:r w:rsidRPr="00FA6793">
              <w:rPr>
                <w:rFonts w:ascii="Arial" w:hAnsi="Arial" w:cs="Arial"/>
                <w:color w:val="000000"/>
                <w:sz w:val="16"/>
                <w:szCs w:val="16"/>
              </w:rPr>
              <w:t> </w:t>
            </w:r>
          </w:p>
        </w:tc>
        <w:tc>
          <w:tcPr>
            <w:tcW w:w="756" w:type="pct"/>
            <w:tcBorders>
              <w:top w:val="nil"/>
              <w:left w:val="nil"/>
              <w:bottom w:val="nil"/>
              <w:right w:val="nil"/>
            </w:tcBorders>
            <w:shd w:val="clear" w:color="000000" w:fill="FFFFFF"/>
            <w:vAlign w:val="center"/>
            <w:hideMark/>
          </w:tcPr>
          <w:p w14:paraId="76EE7AE8" w14:textId="77777777" w:rsidR="00FA6793" w:rsidRPr="00FA6793" w:rsidRDefault="00FA6793" w:rsidP="00FA6793">
            <w:pPr>
              <w:spacing w:before="0" w:after="0" w:line="240" w:lineRule="auto"/>
              <w:jc w:val="right"/>
              <w:rPr>
                <w:rFonts w:ascii="Arial" w:hAnsi="Arial" w:cs="Arial"/>
                <w:color w:val="000000"/>
                <w:sz w:val="16"/>
                <w:szCs w:val="16"/>
              </w:rPr>
            </w:pPr>
            <w:r w:rsidRPr="00FA6793">
              <w:rPr>
                <w:rFonts w:ascii="Arial" w:hAnsi="Arial" w:cs="Arial"/>
                <w:color w:val="000000"/>
                <w:sz w:val="16"/>
                <w:szCs w:val="16"/>
              </w:rPr>
              <w:t>13,894</w:t>
            </w:r>
          </w:p>
        </w:tc>
        <w:tc>
          <w:tcPr>
            <w:tcW w:w="772" w:type="pct"/>
            <w:tcBorders>
              <w:top w:val="nil"/>
              <w:left w:val="nil"/>
              <w:bottom w:val="nil"/>
              <w:right w:val="nil"/>
            </w:tcBorders>
            <w:shd w:val="clear" w:color="000000" w:fill="FFFFFF"/>
            <w:vAlign w:val="center"/>
            <w:hideMark/>
          </w:tcPr>
          <w:p w14:paraId="35EE0C5F" w14:textId="77777777" w:rsidR="00FA6793" w:rsidRPr="00FA6793" w:rsidRDefault="00FA6793" w:rsidP="00FA6793">
            <w:pPr>
              <w:spacing w:before="0" w:after="0" w:line="240" w:lineRule="auto"/>
              <w:jc w:val="right"/>
              <w:rPr>
                <w:rFonts w:ascii="Arial" w:hAnsi="Arial" w:cs="Arial"/>
                <w:color w:val="000000"/>
                <w:sz w:val="16"/>
                <w:szCs w:val="16"/>
              </w:rPr>
            </w:pPr>
            <w:r w:rsidRPr="00FA6793">
              <w:rPr>
                <w:rFonts w:ascii="Arial" w:hAnsi="Arial" w:cs="Arial"/>
                <w:color w:val="000000"/>
                <w:sz w:val="16"/>
                <w:szCs w:val="16"/>
              </w:rPr>
              <w:t>5.8</w:t>
            </w:r>
          </w:p>
        </w:tc>
        <w:tc>
          <w:tcPr>
            <w:tcW w:w="772" w:type="pct"/>
            <w:tcBorders>
              <w:top w:val="nil"/>
              <w:left w:val="nil"/>
              <w:bottom w:val="nil"/>
              <w:right w:val="nil"/>
            </w:tcBorders>
            <w:shd w:val="clear" w:color="000000" w:fill="FFFFFF"/>
            <w:vAlign w:val="center"/>
            <w:hideMark/>
          </w:tcPr>
          <w:p w14:paraId="085D562E" w14:textId="77777777" w:rsidR="00FA6793" w:rsidRPr="00FA6793" w:rsidRDefault="00FA6793" w:rsidP="00FA6793">
            <w:pPr>
              <w:spacing w:before="0" w:after="0" w:line="240" w:lineRule="auto"/>
              <w:jc w:val="right"/>
              <w:rPr>
                <w:rFonts w:ascii="Arial" w:hAnsi="Arial" w:cs="Arial"/>
                <w:color w:val="000000"/>
                <w:sz w:val="16"/>
                <w:szCs w:val="16"/>
              </w:rPr>
            </w:pPr>
            <w:r w:rsidRPr="00FA6793">
              <w:rPr>
                <w:rFonts w:ascii="Arial" w:hAnsi="Arial" w:cs="Arial"/>
                <w:color w:val="000000"/>
                <w:sz w:val="16"/>
                <w:szCs w:val="16"/>
              </w:rPr>
              <w:t>13,416</w:t>
            </w:r>
          </w:p>
        </w:tc>
        <w:tc>
          <w:tcPr>
            <w:tcW w:w="772" w:type="pct"/>
            <w:tcBorders>
              <w:top w:val="nil"/>
              <w:left w:val="nil"/>
              <w:bottom w:val="nil"/>
              <w:right w:val="nil"/>
            </w:tcBorders>
            <w:shd w:val="clear" w:color="000000" w:fill="FFFFFF"/>
            <w:vAlign w:val="center"/>
            <w:hideMark/>
          </w:tcPr>
          <w:p w14:paraId="7FBFE8FD" w14:textId="77777777" w:rsidR="00FA6793" w:rsidRPr="00FA6793" w:rsidRDefault="00FA6793" w:rsidP="00FA6793">
            <w:pPr>
              <w:spacing w:before="0" w:after="0" w:line="240" w:lineRule="auto"/>
              <w:jc w:val="right"/>
              <w:rPr>
                <w:rFonts w:ascii="Arial" w:hAnsi="Arial" w:cs="Arial"/>
                <w:color w:val="000000"/>
                <w:sz w:val="16"/>
                <w:szCs w:val="16"/>
              </w:rPr>
            </w:pPr>
            <w:r w:rsidRPr="00FA6793">
              <w:rPr>
                <w:rFonts w:ascii="Arial" w:hAnsi="Arial" w:cs="Arial"/>
                <w:color w:val="000000"/>
                <w:sz w:val="16"/>
                <w:szCs w:val="16"/>
              </w:rPr>
              <w:t>6.3</w:t>
            </w:r>
          </w:p>
        </w:tc>
      </w:tr>
      <w:tr w:rsidR="00FA6793" w:rsidRPr="00FA6793" w14:paraId="29C684E2" w14:textId="77777777" w:rsidTr="00FA6793">
        <w:trPr>
          <w:trHeight w:hRule="exact" w:val="230"/>
        </w:trPr>
        <w:tc>
          <w:tcPr>
            <w:tcW w:w="1929" w:type="pct"/>
            <w:tcBorders>
              <w:top w:val="nil"/>
              <w:left w:val="nil"/>
              <w:bottom w:val="nil"/>
              <w:right w:val="nil"/>
            </w:tcBorders>
            <w:shd w:val="clear" w:color="000000" w:fill="FFFFFF"/>
            <w:vAlign w:val="center"/>
            <w:hideMark/>
          </w:tcPr>
          <w:p w14:paraId="216EFB32" w14:textId="77777777" w:rsidR="00FA6793" w:rsidRPr="00FA6793" w:rsidRDefault="00FA6793" w:rsidP="00FA6793">
            <w:pPr>
              <w:spacing w:before="0" w:after="0" w:line="240" w:lineRule="auto"/>
              <w:rPr>
                <w:rFonts w:ascii="Arial" w:hAnsi="Arial" w:cs="Arial"/>
                <w:color w:val="000000"/>
                <w:sz w:val="16"/>
                <w:szCs w:val="16"/>
              </w:rPr>
            </w:pPr>
            <w:r w:rsidRPr="00FA6793">
              <w:rPr>
                <w:rFonts w:ascii="Arial" w:hAnsi="Arial" w:cs="Arial"/>
                <w:color w:val="000000"/>
                <w:sz w:val="16"/>
                <w:szCs w:val="16"/>
              </w:rPr>
              <w:t>Private equity </w:t>
            </w:r>
          </w:p>
        </w:tc>
        <w:tc>
          <w:tcPr>
            <w:tcW w:w="756" w:type="pct"/>
            <w:tcBorders>
              <w:top w:val="nil"/>
              <w:left w:val="nil"/>
              <w:bottom w:val="nil"/>
              <w:right w:val="nil"/>
            </w:tcBorders>
            <w:shd w:val="clear" w:color="000000" w:fill="FFFFFF"/>
            <w:vAlign w:val="center"/>
            <w:hideMark/>
          </w:tcPr>
          <w:p w14:paraId="39A76D4E" w14:textId="77777777" w:rsidR="00FA6793" w:rsidRPr="00FA6793" w:rsidRDefault="00FA6793" w:rsidP="00FA6793">
            <w:pPr>
              <w:spacing w:before="0" w:after="0" w:line="240" w:lineRule="auto"/>
              <w:jc w:val="right"/>
              <w:rPr>
                <w:rFonts w:ascii="Arial" w:hAnsi="Arial" w:cs="Arial"/>
                <w:color w:val="000000"/>
                <w:sz w:val="16"/>
                <w:szCs w:val="16"/>
              </w:rPr>
            </w:pPr>
            <w:r w:rsidRPr="00FA6793">
              <w:rPr>
                <w:rFonts w:ascii="Arial" w:hAnsi="Arial" w:cs="Arial"/>
                <w:color w:val="000000"/>
                <w:sz w:val="16"/>
                <w:szCs w:val="16"/>
              </w:rPr>
              <w:t>33,137</w:t>
            </w:r>
          </w:p>
        </w:tc>
        <w:tc>
          <w:tcPr>
            <w:tcW w:w="772" w:type="pct"/>
            <w:tcBorders>
              <w:top w:val="nil"/>
              <w:left w:val="nil"/>
              <w:bottom w:val="nil"/>
              <w:right w:val="nil"/>
            </w:tcBorders>
            <w:shd w:val="clear" w:color="000000" w:fill="FFFFFF"/>
            <w:vAlign w:val="center"/>
            <w:hideMark/>
          </w:tcPr>
          <w:p w14:paraId="67191DC7" w14:textId="77777777" w:rsidR="00FA6793" w:rsidRPr="00FA6793" w:rsidRDefault="00FA6793" w:rsidP="00FA6793">
            <w:pPr>
              <w:spacing w:before="0" w:after="0" w:line="240" w:lineRule="auto"/>
              <w:jc w:val="right"/>
              <w:rPr>
                <w:rFonts w:ascii="Arial" w:hAnsi="Arial" w:cs="Arial"/>
                <w:color w:val="000000"/>
                <w:sz w:val="16"/>
                <w:szCs w:val="16"/>
              </w:rPr>
            </w:pPr>
            <w:r w:rsidRPr="00FA6793">
              <w:rPr>
                <w:rFonts w:ascii="Arial" w:hAnsi="Arial" w:cs="Arial"/>
                <w:color w:val="000000"/>
                <w:sz w:val="16"/>
                <w:szCs w:val="16"/>
              </w:rPr>
              <w:t>13.9</w:t>
            </w:r>
          </w:p>
        </w:tc>
        <w:tc>
          <w:tcPr>
            <w:tcW w:w="772" w:type="pct"/>
            <w:tcBorders>
              <w:top w:val="nil"/>
              <w:left w:val="nil"/>
              <w:bottom w:val="nil"/>
              <w:right w:val="nil"/>
            </w:tcBorders>
            <w:shd w:val="clear" w:color="000000" w:fill="FFFFFF"/>
            <w:vAlign w:val="center"/>
            <w:hideMark/>
          </w:tcPr>
          <w:p w14:paraId="49985055" w14:textId="77777777" w:rsidR="00FA6793" w:rsidRPr="00FA6793" w:rsidRDefault="00FA6793" w:rsidP="00FA6793">
            <w:pPr>
              <w:spacing w:before="0" w:after="0" w:line="240" w:lineRule="auto"/>
              <w:jc w:val="right"/>
              <w:rPr>
                <w:rFonts w:ascii="Arial" w:hAnsi="Arial" w:cs="Arial"/>
                <w:color w:val="000000"/>
                <w:sz w:val="16"/>
                <w:szCs w:val="16"/>
              </w:rPr>
            </w:pPr>
            <w:r w:rsidRPr="00FA6793">
              <w:rPr>
                <w:rFonts w:ascii="Arial" w:hAnsi="Arial" w:cs="Arial"/>
                <w:color w:val="000000"/>
                <w:sz w:val="16"/>
                <w:szCs w:val="16"/>
              </w:rPr>
              <w:t>31,888</w:t>
            </w:r>
          </w:p>
        </w:tc>
        <w:tc>
          <w:tcPr>
            <w:tcW w:w="772" w:type="pct"/>
            <w:tcBorders>
              <w:top w:val="nil"/>
              <w:left w:val="nil"/>
              <w:bottom w:val="nil"/>
              <w:right w:val="nil"/>
            </w:tcBorders>
            <w:shd w:val="clear" w:color="000000" w:fill="FFFFFF"/>
            <w:vAlign w:val="center"/>
            <w:hideMark/>
          </w:tcPr>
          <w:p w14:paraId="734E9C13" w14:textId="77777777" w:rsidR="00FA6793" w:rsidRPr="00FA6793" w:rsidRDefault="00FA6793" w:rsidP="00FA6793">
            <w:pPr>
              <w:spacing w:before="0" w:after="0" w:line="240" w:lineRule="auto"/>
              <w:jc w:val="right"/>
              <w:rPr>
                <w:rFonts w:ascii="Arial" w:hAnsi="Arial" w:cs="Arial"/>
                <w:color w:val="000000"/>
                <w:sz w:val="16"/>
                <w:szCs w:val="16"/>
              </w:rPr>
            </w:pPr>
            <w:r w:rsidRPr="00FA6793">
              <w:rPr>
                <w:rFonts w:ascii="Arial" w:hAnsi="Arial" w:cs="Arial"/>
                <w:color w:val="000000"/>
                <w:sz w:val="16"/>
                <w:szCs w:val="16"/>
              </w:rPr>
              <w:t>15.1</w:t>
            </w:r>
          </w:p>
        </w:tc>
      </w:tr>
      <w:tr w:rsidR="00FA6793" w:rsidRPr="00FA6793" w14:paraId="4624B76B" w14:textId="77777777" w:rsidTr="00FA6793">
        <w:trPr>
          <w:trHeight w:hRule="exact" w:val="230"/>
        </w:trPr>
        <w:tc>
          <w:tcPr>
            <w:tcW w:w="1929" w:type="pct"/>
            <w:tcBorders>
              <w:top w:val="nil"/>
              <w:left w:val="nil"/>
              <w:bottom w:val="nil"/>
              <w:right w:val="nil"/>
            </w:tcBorders>
            <w:shd w:val="clear" w:color="000000" w:fill="FFFFFF"/>
            <w:vAlign w:val="center"/>
            <w:hideMark/>
          </w:tcPr>
          <w:p w14:paraId="3FE48EDE" w14:textId="77777777" w:rsidR="00FA6793" w:rsidRPr="00FA6793" w:rsidRDefault="00FA6793" w:rsidP="00FA6793">
            <w:pPr>
              <w:spacing w:before="0" w:after="0" w:line="240" w:lineRule="auto"/>
              <w:rPr>
                <w:rFonts w:ascii="Arial" w:hAnsi="Arial" w:cs="Arial"/>
                <w:color w:val="000000"/>
                <w:sz w:val="16"/>
                <w:szCs w:val="16"/>
              </w:rPr>
            </w:pPr>
            <w:r w:rsidRPr="00FA6793">
              <w:rPr>
                <w:rFonts w:ascii="Arial" w:hAnsi="Arial" w:cs="Arial"/>
                <w:color w:val="000000"/>
                <w:sz w:val="16"/>
                <w:szCs w:val="16"/>
              </w:rPr>
              <w:t>Property </w:t>
            </w:r>
          </w:p>
        </w:tc>
        <w:tc>
          <w:tcPr>
            <w:tcW w:w="756" w:type="pct"/>
            <w:tcBorders>
              <w:top w:val="nil"/>
              <w:left w:val="nil"/>
              <w:bottom w:val="nil"/>
              <w:right w:val="nil"/>
            </w:tcBorders>
            <w:shd w:val="clear" w:color="000000" w:fill="FFFFFF"/>
            <w:vAlign w:val="center"/>
            <w:hideMark/>
          </w:tcPr>
          <w:p w14:paraId="3E49C067" w14:textId="77777777" w:rsidR="00FA6793" w:rsidRPr="00FA6793" w:rsidRDefault="00FA6793" w:rsidP="00FA6793">
            <w:pPr>
              <w:spacing w:before="0" w:after="0" w:line="240" w:lineRule="auto"/>
              <w:jc w:val="right"/>
              <w:rPr>
                <w:rFonts w:ascii="Arial" w:hAnsi="Arial" w:cs="Arial"/>
                <w:color w:val="000000"/>
                <w:sz w:val="16"/>
                <w:szCs w:val="16"/>
              </w:rPr>
            </w:pPr>
            <w:r w:rsidRPr="00FA6793">
              <w:rPr>
                <w:rFonts w:ascii="Arial" w:hAnsi="Arial" w:cs="Arial"/>
                <w:color w:val="000000"/>
                <w:sz w:val="16"/>
                <w:szCs w:val="16"/>
              </w:rPr>
              <w:t>11,298</w:t>
            </w:r>
          </w:p>
        </w:tc>
        <w:tc>
          <w:tcPr>
            <w:tcW w:w="772" w:type="pct"/>
            <w:tcBorders>
              <w:top w:val="nil"/>
              <w:left w:val="nil"/>
              <w:bottom w:val="nil"/>
              <w:right w:val="nil"/>
            </w:tcBorders>
            <w:shd w:val="clear" w:color="000000" w:fill="FFFFFF"/>
            <w:vAlign w:val="center"/>
            <w:hideMark/>
          </w:tcPr>
          <w:p w14:paraId="2E66FC85" w14:textId="77777777" w:rsidR="00FA6793" w:rsidRPr="00FA6793" w:rsidRDefault="00FA6793" w:rsidP="00FA6793">
            <w:pPr>
              <w:spacing w:before="0" w:after="0" w:line="240" w:lineRule="auto"/>
              <w:jc w:val="right"/>
              <w:rPr>
                <w:rFonts w:ascii="Arial" w:hAnsi="Arial" w:cs="Arial"/>
                <w:color w:val="000000"/>
                <w:sz w:val="16"/>
                <w:szCs w:val="16"/>
              </w:rPr>
            </w:pPr>
            <w:r w:rsidRPr="00FA6793">
              <w:rPr>
                <w:rFonts w:ascii="Arial" w:hAnsi="Arial" w:cs="Arial"/>
                <w:color w:val="000000"/>
                <w:sz w:val="16"/>
                <w:szCs w:val="16"/>
              </w:rPr>
              <w:t>4.7</w:t>
            </w:r>
          </w:p>
        </w:tc>
        <w:tc>
          <w:tcPr>
            <w:tcW w:w="772" w:type="pct"/>
            <w:tcBorders>
              <w:top w:val="nil"/>
              <w:left w:val="nil"/>
              <w:bottom w:val="nil"/>
              <w:right w:val="nil"/>
            </w:tcBorders>
            <w:shd w:val="clear" w:color="000000" w:fill="FFFFFF"/>
            <w:vAlign w:val="center"/>
            <w:hideMark/>
          </w:tcPr>
          <w:p w14:paraId="3FF250A2" w14:textId="77777777" w:rsidR="00FA6793" w:rsidRPr="00FA6793" w:rsidRDefault="00FA6793" w:rsidP="00FA6793">
            <w:pPr>
              <w:spacing w:before="0" w:after="0" w:line="240" w:lineRule="auto"/>
              <w:jc w:val="right"/>
              <w:rPr>
                <w:rFonts w:ascii="Arial" w:hAnsi="Arial" w:cs="Arial"/>
                <w:color w:val="000000"/>
                <w:sz w:val="16"/>
                <w:szCs w:val="16"/>
              </w:rPr>
            </w:pPr>
            <w:r w:rsidRPr="00FA6793">
              <w:rPr>
                <w:rFonts w:ascii="Arial" w:hAnsi="Arial" w:cs="Arial"/>
                <w:color w:val="000000"/>
                <w:sz w:val="16"/>
                <w:szCs w:val="16"/>
              </w:rPr>
              <w:t>13,567</w:t>
            </w:r>
          </w:p>
        </w:tc>
        <w:tc>
          <w:tcPr>
            <w:tcW w:w="772" w:type="pct"/>
            <w:tcBorders>
              <w:top w:val="nil"/>
              <w:left w:val="nil"/>
              <w:bottom w:val="nil"/>
              <w:right w:val="nil"/>
            </w:tcBorders>
            <w:shd w:val="clear" w:color="000000" w:fill="FFFFFF"/>
            <w:vAlign w:val="center"/>
            <w:hideMark/>
          </w:tcPr>
          <w:p w14:paraId="4E0C3A48" w14:textId="77777777" w:rsidR="00FA6793" w:rsidRPr="00FA6793" w:rsidRDefault="00FA6793" w:rsidP="00FA6793">
            <w:pPr>
              <w:spacing w:before="0" w:after="0" w:line="240" w:lineRule="auto"/>
              <w:jc w:val="right"/>
              <w:rPr>
                <w:rFonts w:ascii="Arial" w:hAnsi="Arial" w:cs="Arial"/>
                <w:color w:val="000000"/>
                <w:sz w:val="16"/>
                <w:szCs w:val="16"/>
              </w:rPr>
            </w:pPr>
            <w:r w:rsidRPr="00FA6793">
              <w:rPr>
                <w:rFonts w:ascii="Arial" w:hAnsi="Arial" w:cs="Arial"/>
                <w:color w:val="000000"/>
                <w:sz w:val="16"/>
                <w:szCs w:val="16"/>
              </w:rPr>
              <w:t>6.4</w:t>
            </w:r>
          </w:p>
        </w:tc>
      </w:tr>
      <w:tr w:rsidR="00FA6793" w:rsidRPr="00FA6793" w14:paraId="2B93AAFA" w14:textId="77777777" w:rsidTr="00FA6793">
        <w:trPr>
          <w:trHeight w:hRule="exact" w:val="230"/>
        </w:trPr>
        <w:tc>
          <w:tcPr>
            <w:tcW w:w="1929" w:type="pct"/>
            <w:tcBorders>
              <w:top w:val="nil"/>
              <w:left w:val="nil"/>
              <w:bottom w:val="nil"/>
              <w:right w:val="nil"/>
            </w:tcBorders>
            <w:shd w:val="clear" w:color="000000" w:fill="FFFFFF"/>
            <w:vAlign w:val="center"/>
            <w:hideMark/>
          </w:tcPr>
          <w:p w14:paraId="099D66DB" w14:textId="77777777" w:rsidR="00FA6793" w:rsidRPr="00FA6793" w:rsidRDefault="00FA6793" w:rsidP="00FA6793">
            <w:pPr>
              <w:spacing w:before="0" w:after="0" w:line="240" w:lineRule="auto"/>
              <w:rPr>
                <w:rFonts w:ascii="Arial" w:hAnsi="Arial" w:cs="Arial"/>
                <w:color w:val="000000"/>
                <w:sz w:val="16"/>
                <w:szCs w:val="16"/>
              </w:rPr>
            </w:pPr>
            <w:r w:rsidRPr="00FA6793">
              <w:rPr>
                <w:rFonts w:ascii="Arial" w:hAnsi="Arial" w:cs="Arial"/>
                <w:color w:val="000000"/>
                <w:sz w:val="16"/>
                <w:szCs w:val="16"/>
              </w:rPr>
              <w:t>Infrastructure &amp; Timberland </w:t>
            </w:r>
          </w:p>
        </w:tc>
        <w:tc>
          <w:tcPr>
            <w:tcW w:w="756" w:type="pct"/>
            <w:tcBorders>
              <w:top w:val="nil"/>
              <w:left w:val="nil"/>
              <w:bottom w:val="nil"/>
              <w:right w:val="nil"/>
            </w:tcBorders>
            <w:shd w:val="clear" w:color="000000" w:fill="FFFFFF"/>
            <w:vAlign w:val="center"/>
            <w:hideMark/>
          </w:tcPr>
          <w:p w14:paraId="767F9102" w14:textId="77777777" w:rsidR="00FA6793" w:rsidRPr="00FA6793" w:rsidRDefault="00FA6793" w:rsidP="00FA6793">
            <w:pPr>
              <w:spacing w:before="0" w:after="0" w:line="240" w:lineRule="auto"/>
              <w:jc w:val="right"/>
              <w:rPr>
                <w:rFonts w:ascii="Arial" w:hAnsi="Arial" w:cs="Arial"/>
                <w:color w:val="000000"/>
                <w:sz w:val="16"/>
                <w:szCs w:val="16"/>
              </w:rPr>
            </w:pPr>
            <w:r w:rsidRPr="00FA6793">
              <w:rPr>
                <w:rFonts w:ascii="Arial" w:hAnsi="Arial" w:cs="Arial"/>
                <w:color w:val="000000"/>
                <w:sz w:val="16"/>
                <w:szCs w:val="16"/>
              </w:rPr>
              <w:t>23,672</w:t>
            </w:r>
          </w:p>
        </w:tc>
        <w:tc>
          <w:tcPr>
            <w:tcW w:w="772" w:type="pct"/>
            <w:tcBorders>
              <w:top w:val="nil"/>
              <w:left w:val="nil"/>
              <w:bottom w:val="nil"/>
              <w:right w:val="nil"/>
            </w:tcBorders>
            <w:shd w:val="clear" w:color="000000" w:fill="FFFFFF"/>
            <w:vAlign w:val="center"/>
            <w:hideMark/>
          </w:tcPr>
          <w:p w14:paraId="16EAF570" w14:textId="77777777" w:rsidR="00FA6793" w:rsidRPr="00FA6793" w:rsidRDefault="00FA6793" w:rsidP="00FA6793">
            <w:pPr>
              <w:spacing w:before="0" w:after="0" w:line="240" w:lineRule="auto"/>
              <w:jc w:val="right"/>
              <w:rPr>
                <w:rFonts w:ascii="Arial" w:hAnsi="Arial" w:cs="Arial"/>
                <w:color w:val="000000"/>
                <w:sz w:val="16"/>
                <w:szCs w:val="16"/>
              </w:rPr>
            </w:pPr>
            <w:r w:rsidRPr="00FA6793">
              <w:rPr>
                <w:rFonts w:ascii="Arial" w:hAnsi="Arial" w:cs="Arial"/>
                <w:color w:val="000000"/>
                <w:sz w:val="16"/>
                <w:szCs w:val="16"/>
              </w:rPr>
              <w:t>10.0</w:t>
            </w:r>
          </w:p>
        </w:tc>
        <w:tc>
          <w:tcPr>
            <w:tcW w:w="772" w:type="pct"/>
            <w:tcBorders>
              <w:top w:val="nil"/>
              <w:left w:val="nil"/>
              <w:bottom w:val="nil"/>
              <w:right w:val="nil"/>
            </w:tcBorders>
            <w:shd w:val="clear" w:color="000000" w:fill="FFFFFF"/>
            <w:vAlign w:val="center"/>
            <w:hideMark/>
          </w:tcPr>
          <w:p w14:paraId="4ED678F7" w14:textId="77777777" w:rsidR="00FA6793" w:rsidRPr="00FA6793" w:rsidRDefault="00FA6793" w:rsidP="00FA6793">
            <w:pPr>
              <w:spacing w:before="0" w:after="0" w:line="240" w:lineRule="auto"/>
              <w:jc w:val="right"/>
              <w:rPr>
                <w:rFonts w:ascii="Arial" w:hAnsi="Arial" w:cs="Arial"/>
                <w:color w:val="000000"/>
                <w:sz w:val="16"/>
                <w:szCs w:val="16"/>
              </w:rPr>
            </w:pPr>
            <w:r w:rsidRPr="00FA6793">
              <w:rPr>
                <w:rFonts w:ascii="Arial" w:hAnsi="Arial" w:cs="Arial"/>
                <w:color w:val="000000"/>
                <w:sz w:val="16"/>
                <w:szCs w:val="16"/>
              </w:rPr>
              <w:t>20,533</w:t>
            </w:r>
          </w:p>
        </w:tc>
        <w:tc>
          <w:tcPr>
            <w:tcW w:w="772" w:type="pct"/>
            <w:tcBorders>
              <w:top w:val="nil"/>
              <w:left w:val="nil"/>
              <w:bottom w:val="nil"/>
              <w:right w:val="nil"/>
            </w:tcBorders>
            <w:shd w:val="clear" w:color="000000" w:fill="FFFFFF"/>
            <w:vAlign w:val="center"/>
            <w:hideMark/>
          </w:tcPr>
          <w:p w14:paraId="14EB8D2D" w14:textId="77777777" w:rsidR="00FA6793" w:rsidRPr="00FA6793" w:rsidRDefault="00FA6793" w:rsidP="00FA6793">
            <w:pPr>
              <w:spacing w:before="0" w:after="0" w:line="240" w:lineRule="auto"/>
              <w:jc w:val="right"/>
              <w:rPr>
                <w:rFonts w:ascii="Arial" w:hAnsi="Arial" w:cs="Arial"/>
                <w:color w:val="000000"/>
                <w:sz w:val="16"/>
                <w:szCs w:val="16"/>
              </w:rPr>
            </w:pPr>
            <w:r w:rsidRPr="00FA6793">
              <w:rPr>
                <w:rFonts w:ascii="Arial" w:hAnsi="Arial" w:cs="Arial"/>
                <w:color w:val="000000"/>
                <w:sz w:val="16"/>
                <w:szCs w:val="16"/>
              </w:rPr>
              <w:t>9.7</w:t>
            </w:r>
          </w:p>
        </w:tc>
      </w:tr>
      <w:tr w:rsidR="00FA6793" w:rsidRPr="00FA6793" w14:paraId="438A7360" w14:textId="77777777" w:rsidTr="00FA6793">
        <w:trPr>
          <w:trHeight w:hRule="exact" w:val="230"/>
        </w:trPr>
        <w:tc>
          <w:tcPr>
            <w:tcW w:w="1929" w:type="pct"/>
            <w:tcBorders>
              <w:top w:val="nil"/>
              <w:left w:val="nil"/>
              <w:bottom w:val="nil"/>
              <w:right w:val="nil"/>
            </w:tcBorders>
            <w:shd w:val="clear" w:color="000000" w:fill="FFFFFF"/>
            <w:vAlign w:val="center"/>
            <w:hideMark/>
          </w:tcPr>
          <w:p w14:paraId="5B12F210" w14:textId="77777777" w:rsidR="00FA6793" w:rsidRPr="00FA6793" w:rsidRDefault="00FA6793" w:rsidP="00FA6793">
            <w:pPr>
              <w:spacing w:before="0" w:after="0" w:line="240" w:lineRule="auto"/>
              <w:rPr>
                <w:rFonts w:ascii="Arial" w:hAnsi="Arial" w:cs="Arial"/>
                <w:color w:val="000000"/>
                <w:sz w:val="16"/>
                <w:szCs w:val="16"/>
              </w:rPr>
            </w:pPr>
            <w:r w:rsidRPr="00FA6793">
              <w:rPr>
                <w:rFonts w:ascii="Arial" w:hAnsi="Arial" w:cs="Arial"/>
                <w:color w:val="000000"/>
                <w:sz w:val="16"/>
                <w:szCs w:val="16"/>
              </w:rPr>
              <w:t>Debt securities </w:t>
            </w:r>
          </w:p>
        </w:tc>
        <w:tc>
          <w:tcPr>
            <w:tcW w:w="756" w:type="pct"/>
            <w:tcBorders>
              <w:top w:val="nil"/>
              <w:left w:val="nil"/>
              <w:bottom w:val="nil"/>
              <w:right w:val="nil"/>
            </w:tcBorders>
            <w:shd w:val="clear" w:color="000000" w:fill="FFFFFF"/>
            <w:vAlign w:val="center"/>
            <w:hideMark/>
          </w:tcPr>
          <w:p w14:paraId="00DD4754" w14:textId="77777777" w:rsidR="00FA6793" w:rsidRPr="00FA6793" w:rsidRDefault="00FA6793" w:rsidP="00FA6793">
            <w:pPr>
              <w:spacing w:before="0" w:after="0" w:line="240" w:lineRule="auto"/>
              <w:jc w:val="right"/>
              <w:rPr>
                <w:rFonts w:ascii="Arial" w:hAnsi="Arial" w:cs="Arial"/>
                <w:color w:val="000000"/>
                <w:sz w:val="16"/>
                <w:szCs w:val="16"/>
              </w:rPr>
            </w:pPr>
            <w:r w:rsidRPr="00FA6793">
              <w:rPr>
                <w:rFonts w:ascii="Arial" w:hAnsi="Arial" w:cs="Arial"/>
                <w:color w:val="000000"/>
                <w:sz w:val="16"/>
                <w:szCs w:val="16"/>
              </w:rPr>
              <w:t>23,130</w:t>
            </w:r>
          </w:p>
        </w:tc>
        <w:tc>
          <w:tcPr>
            <w:tcW w:w="772" w:type="pct"/>
            <w:tcBorders>
              <w:top w:val="nil"/>
              <w:left w:val="nil"/>
              <w:bottom w:val="nil"/>
              <w:right w:val="nil"/>
            </w:tcBorders>
            <w:shd w:val="clear" w:color="000000" w:fill="FFFFFF"/>
            <w:vAlign w:val="center"/>
            <w:hideMark/>
          </w:tcPr>
          <w:p w14:paraId="44060A20" w14:textId="77777777" w:rsidR="00FA6793" w:rsidRPr="00FA6793" w:rsidRDefault="00FA6793" w:rsidP="00FA6793">
            <w:pPr>
              <w:spacing w:before="0" w:after="0" w:line="240" w:lineRule="auto"/>
              <w:jc w:val="right"/>
              <w:rPr>
                <w:rFonts w:ascii="Arial" w:hAnsi="Arial" w:cs="Arial"/>
                <w:color w:val="000000"/>
                <w:sz w:val="16"/>
                <w:szCs w:val="16"/>
              </w:rPr>
            </w:pPr>
            <w:r w:rsidRPr="00FA6793">
              <w:rPr>
                <w:rFonts w:ascii="Arial" w:hAnsi="Arial" w:cs="Arial"/>
                <w:color w:val="000000"/>
                <w:sz w:val="16"/>
                <w:szCs w:val="16"/>
              </w:rPr>
              <w:t>9.7</w:t>
            </w:r>
          </w:p>
        </w:tc>
        <w:tc>
          <w:tcPr>
            <w:tcW w:w="772" w:type="pct"/>
            <w:tcBorders>
              <w:top w:val="nil"/>
              <w:left w:val="nil"/>
              <w:bottom w:val="nil"/>
              <w:right w:val="nil"/>
            </w:tcBorders>
            <w:shd w:val="clear" w:color="000000" w:fill="FFFFFF"/>
            <w:vAlign w:val="center"/>
            <w:hideMark/>
          </w:tcPr>
          <w:p w14:paraId="36BF58B3" w14:textId="77777777" w:rsidR="00FA6793" w:rsidRPr="00FA6793" w:rsidRDefault="00FA6793" w:rsidP="00FA6793">
            <w:pPr>
              <w:spacing w:before="0" w:after="0" w:line="240" w:lineRule="auto"/>
              <w:jc w:val="right"/>
              <w:rPr>
                <w:rFonts w:ascii="Arial" w:hAnsi="Arial" w:cs="Arial"/>
                <w:color w:val="000000"/>
                <w:sz w:val="16"/>
                <w:szCs w:val="16"/>
              </w:rPr>
            </w:pPr>
            <w:r w:rsidRPr="00FA6793">
              <w:rPr>
                <w:rFonts w:ascii="Arial" w:hAnsi="Arial" w:cs="Arial"/>
                <w:color w:val="000000"/>
                <w:sz w:val="16"/>
                <w:szCs w:val="16"/>
              </w:rPr>
              <w:t>22,588</w:t>
            </w:r>
          </w:p>
        </w:tc>
        <w:tc>
          <w:tcPr>
            <w:tcW w:w="772" w:type="pct"/>
            <w:tcBorders>
              <w:top w:val="nil"/>
              <w:left w:val="nil"/>
              <w:bottom w:val="nil"/>
              <w:right w:val="nil"/>
            </w:tcBorders>
            <w:shd w:val="clear" w:color="000000" w:fill="FFFFFF"/>
            <w:vAlign w:val="center"/>
            <w:hideMark/>
          </w:tcPr>
          <w:p w14:paraId="65BA9F9F" w14:textId="77777777" w:rsidR="00FA6793" w:rsidRPr="00FA6793" w:rsidRDefault="00FA6793" w:rsidP="00FA6793">
            <w:pPr>
              <w:spacing w:before="0" w:after="0" w:line="240" w:lineRule="auto"/>
              <w:jc w:val="right"/>
              <w:rPr>
                <w:rFonts w:ascii="Arial" w:hAnsi="Arial" w:cs="Arial"/>
                <w:color w:val="000000"/>
                <w:sz w:val="16"/>
                <w:szCs w:val="16"/>
              </w:rPr>
            </w:pPr>
            <w:r w:rsidRPr="00FA6793">
              <w:rPr>
                <w:rFonts w:ascii="Arial" w:hAnsi="Arial" w:cs="Arial"/>
                <w:color w:val="000000"/>
                <w:sz w:val="16"/>
                <w:szCs w:val="16"/>
              </w:rPr>
              <w:t>10.7</w:t>
            </w:r>
          </w:p>
        </w:tc>
      </w:tr>
      <w:tr w:rsidR="00FA6793" w:rsidRPr="00FA6793" w14:paraId="41D6ED00" w14:textId="77777777" w:rsidTr="00FA6793">
        <w:trPr>
          <w:trHeight w:hRule="exact" w:val="230"/>
        </w:trPr>
        <w:tc>
          <w:tcPr>
            <w:tcW w:w="1929" w:type="pct"/>
            <w:tcBorders>
              <w:top w:val="nil"/>
              <w:left w:val="nil"/>
              <w:bottom w:val="nil"/>
              <w:right w:val="nil"/>
            </w:tcBorders>
            <w:shd w:val="clear" w:color="000000" w:fill="FFFFFF"/>
            <w:vAlign w:val="center"/>
            <w:hideMark/>
          </w:tcPr>
          <w:p w14:paraId="3178F0D5" w14:textId="77777777" w:rsidR="00FA6793" w:rsidRPr="00FA6793" w:rsidRDefault="00FA6793" w:rsidP="00FA6793">
            <w:pPr>
              <w:spacing w:before="0" w:after="0" w:line="240" w:lineRule="auto"/>
              <w:rPr>
                <w:rFonts w:ascii="Arial" w:hAnsi="Arial" w:cs="Arial"/>
                <w:color w:val="000000"/>
                <w:sz w:val="16"/>
                <w:szCs w:val="16"/>
              </w:rPr>
            </w:pPr>
            <w:r w:rsidRPr="00FA6793">
              <w:rPr>
                <w:rFonts w:ascii="Arial" w:hAnsi="Arial" w:cs="Arial"/>
                <w:color w:val="000000"/>
                <w:sz w:val="16"/>
                <w:szCs w:val="16"/>
              </w:rPr>
              <w:t>Alternative assets </w:t>
            </w:r>
          </w:p>
        </w:tc>
        <w:tc>
          <w:tcPr>
            <w:tcW w:w="756" w:type="pct"/>
            <w:tcBorders>
              <w:top w:val="nil"/>
              <w:left w:val="nil"/>
              <w:bottom w:val="nil"/>
              <w:right w:val="nil"/>
            </w:tcBorders>
            <w:shd w:val="clear" w:color="000000" w:fill="FFFFFF"/>
            <w:vAlign w:val="center"/>
            <w:hideMark/>
          </w:tcPr>
          <w:p w14:paraId="07BBF5BF" w14:textId="77777777" w:rsidR="00FA6793" w:rsidRPr="00FA6793" w:rsidRDefault="00FA6793" w:rsidP="00FA6793">
            <w:pPr>
              <w:spacing w:before="0" w:after="0" w:line="240" w:lineRule="auto"/>
              <w:jc w:val="right"/>
              <w:rPr>
                <w:rFonts w:ascii="Arial" w:hAnsi="Arial" w:cs="Arial"/>
                <w:color w:val="000000"/>
                <w:sz w:val="16"/>
                <w:szCs w:val="16"/>
              </w:rPr>
            </w:pPr>
            <w:r w:rsidRPr="00FA6793">
              <w:rPr>
                <w:rFonts w:ascii="Arial" w:hAnsi="Arial" w:cs="Arial"/>
                <w:color w:val="000000"/>
                <w:sz w:val="16"/>
                <w:szCs w:val="16"/>
              </w:rPr>
              <w:t>35,058</w:t>
            </w:r>
          </w:p>
        </w:tc>
        <w:tc>
          <w:tcPr>
            <w:tcW w:w="772" w:type="pct"/>
            <w:tcBorders>
              <w:top w:val="nil"/>
              <w:left w:val="nil"/>
              <w:bottom w:val="nil"/>
              <w:right w:val="nil"/>
            </w:tcBorders>
            <w:shd w:val="clear" w:color="000000" w:fill="FFFFFF"/>
            <w:vAlign w:val="center"/>
            <w:hideMark/>
          </w:tcPr>
          <w:p w14:paraId="50CF561C" w14:textId="77777777" w:rsidR="00FA6793" w:rsidRPr="00FA6793" w:rsidRDefault="00FA6793" w:rsidP="00FA6793">
            <w:pPr>
              <w:spacing w:before="0" w:after="0" w:line="240" w:lineRule="auto"/>
              <w:jc w:val="right"/>
              <w:rPr>
                <w:rFonts w:ascii="Arial" w:hAnsi="Arial" w:cs="Arial"/>
                <w:color w:val="000000"/>
                <w:sz w:val="16"/>
                <w:szCs w:val="16"/>
              </w:rPr>
            </w:pPr>
            <w:r w:rsidRPr="00FA6793">
              <w:rPr>
                <w:rFonts w:ascii="Arial" w:hAnsi="Arial" w:cs="Arial"/>
                <w:color w:val="000000"/>
                <w:sz w:val="16"/>
                <w:szCs w:val="16"/>
              </w:rPr>
              <w:t>14.7</w:t>
            </w:r>
          </w:p>
        </w:tc>
        <w:tc>
          <w:tcPr>
            <w:tcW w:w="772" w:type="pct"/>
            <w:tcBorders>
              <w:top w:val="nil"/>
              <w:left w:val="nil"/>
              <w:bottom w:val="nil"/>
              <w:right w:val="nil"/>
            </w:tcBorders>
            <w:shd w:val="clear" w:color="000000" w:fill="FFFFFF"/>
            <w:vAlign w:val="center"/>
            <w:hideMark/>
          </w:tcPr>
          <w:p w14:paraId="3D275314" w14:textId="77777777" w:rsidR="00FA6793" w:rsidRPr="00FA6793" w:rsidRDefault="00FA6793" w:rsidP="00FA6793">
            <w:pPr>
              <w:spacing w:before="0" w:after="0" w:line="240" w:lineRule="auto"/>
              <w:jc w:val="right"/>
              <w:rPr>
                <w:rFonts w:ascii="Arial" w:hAnsi="Arial" w:cs="Arial"/>
                <w:color w:val="000000"/>
                <w:sz w:val="16"/>
                <w:szCs w:val="16"/>
              </w:rPr>
            </w:pPr>
            <w:r w:rsidRPr="00FA6793">
              <w:rPr>
                <w:rFonts w:ascii="Arial" w:hAnsi="Arial" w:cs="Arial"/>
                <w:color w:val="000000"/>
                <w:sz w:val="16"/>
                <w:szCs w:val="16"/>
              </w:rPr>
              <w:t>32,744</w:t>
            </w:r>
          </w:p>
        </w:tc>
        <w:tc>
          <w:tcPr>
            <w:tcW w:w="772" w:type="pct"/>
            <w:tcBorders>
              <w:top w:val="nil"/>
              <w:left w:val="nil"/>
              <w:bottom w:val="nil"/>
              <w:right w:val="nil"/>
            </w:tcBorders>
            <w:shd w:val="clear" w:color="000000" w:fill="FFFFFF"/>
            <w:vAlign w:val="center"/>
            <w:hideMark/>
          </w:tcPr>
          <w:p w14:paraId="28AAF71D" w14:textId="77777777" w:rsidR="00FA6793" w:rsidRPr="00FA6793" w:rsidRDefault="00FA6793" w:rsidP="00FA6793">
            <w:pPr>
              <w:spacing w:before="0" w:after="0" w:line="240" w:lineRule="auto"/>
              <w:jc w:val="right"/>
              <w:rPr>
                <w:rFonts w:ascii="Arial" w:hAnsi="Arial" w:cs="Arial"/>
                <w:color w:val="000000"/>
                <w:sz w:val="16"/>
                <w:szCs w:val="16"/>
              </w:rPr>
            </w:pPr>
            <w:r w:rsidRPr="00FA6793">
              <w:rPr>
                <w:rFonts w:ascii="Arial" w:hAnsi="Arial" w:cs="Arial"/>
                <w:color w:val="000000"/>
                <w:sz w:val="16"/>
                <w:szCs w:val="16"/>
              </w:rPr>
              <w:t>15.5</w:t>
            </w:r>
          </w:p>
        </w:tc>
      </w:tr>
      <w:tr w:rsidR="00FA6793" w:rsidRPr="00FA6793" w14:paraId="262675DA" w14:textId="77777777" w:rsidTr="00FA6793">
        <w:trPr>
          <w:trHeight w:hRule="exact" w:val="230"/>
        </w:trPr>
        <w:tc>
          <w:tcPr>
            <w:tcW w:w="1929" w:type="pct"/>
            <w:tcBorders>
              <w:top w:val="nil"/>
              <w:left w:val="nil"/>
              <w:bottom w:val="nil"/>
              <w:right w:val="nil"/>
            </w:tcBorders>
            <w:shd w:val="clear" w:color="000000" w:fill="FFFFFF"/>
            <w:vAlign w:val="center"/>
            <w:hideMark/>
          </w:tcPr>
          <w:p w14:paraId="6D4EEE31" w14:textId="77777777" w:rsidR="00FA6793" w:rsidRPr="00FA6793" w:rsidRDefault="00FA6793" w:rsidP="00FA6793">
            <w:pPr>
              <w:spacing w:before="0" w:after="0" w:line="240" w:lineRule="auto"/>
              <w:rPr>
                <w:rFonts w:ascii="Arial" w:hAnsi="Arial" w:cs="Arial"/>
                <w:color w:val="000000"/>
                <w:sz w:val="16"/>
                <w:szCs w:val="16"/>
              </w:rPr>
            </w:pPr>
            <w:r w:rsidRPr="00FA6793">
              <w:rPr>
                <w:rFonts w:ascii="Arial" w:hAnsi="Arial" w:cs="Arial"/>
                <w:color w:val="000000"/>
                <w:sz w:val="16"/>
                <w:szCs w:val="16"/>
              </w:rPr>
              <w:t>Cash </w:t>
            </w:r>
          </w:p>
        </w:tc>
        <w:tc>
          <w:tcPr>
            <w:tcW w:w="756" w:type="pct"/>
            <w:tcBorders>
              <w:top w:val="nil"/>
              <w:left w:val="nil"/>
              <w:bottom w:val="nil"/>
              <w:right w:val="nil"/>
            </w:tcBorders>
            <w:shd w:val="clear" w:color="000000" w:fill="FFFFFF"/>
            <w:vAlign w:val="center"/>
            <w:hideMark/>
          </w:tcPr>
          <w:p w14:paraId="0814BBCD" w14:textId="77777777" w:rsidR="00FA6793" w:rsidRPr="00FA6793" w:rsidRDefault="00FA6793" w:rsidP="00FA6793">
            <w:pPr>
              <w:spacing w:before="0" w:after="0" w:line="240" w:lineRule="auto"/>
              <w:jc w:val="right"/>
              <w:rPr>
                <w:rFonts w:ascii="Arial" w:hAnsi="Arial" w:cs="Arial"/>
                <w:color w:val="000000"/>
                <w:sz w:val="16"/>
                <w:szCs w:val="16"/>
              </w:rPr>
            </w:pPr>
            <w:r w:rsidRPr="00FA6793">
              <w:rPr>
                <w:rFonts w:ascii="Arial" w:hAnsi="Arial" w:cs="Arial"/>
                <w:color w:val="000000"/>
                <w:sz w:val="16"/>
                <w:szCs w:val="16"/>
              </w:rPr>
              <w:t>13,990</w:t>
            </w:r>
          </w:p>
        </w:tc>
        <w:tc>
          <w:tcPr>
            <w:tcW w:w="772" w:type="pct"/>
            <w:tcBorders>
              <w:top w:val="nil"/>
              <w:left w:val="nil"/>
              <w:bottom w:val="nil"/>
              <w:right w:val="nil"/>
            </w:tcBorders>
            <w:shd w:val="clear" w:color="000000" w:fill="FFFFFF"/>
            <w:vAlign w:val="center"/>
            <w:hideMark/>
          </w:tcPr>
          <w:p w14:paraId="1E754D77" w14:textId="77777777" w:rsidR="00FA6793" w:rsidRPr="00FA6793" w:rsidRDefault="00FA6793" w:rsidP="00FA6793">
            <w:pPr>
              <w:spacing w:before="0" w:after="0" w:line="240" w:lineRule="auto"/>
              <w:jc w:val="right"/>
              <w:rPr>
                <w:rFonts w:ascii="Arial" w:hAnsi="Arial" w:cs="Arial"/>
                <w:color w:val="000000"/>
                <w:sz w:val="16"/>
                <w:szCs w:val="16"/>
              </w:rPr>
            </w:pPr>
            <w:r w:rsidRPr="00FA6793">
              <w:rPr>
                <w:rFonts w:ascii="Arial" w:hAnsi="Arial" w:cs="Arial"/>
                <w:color w:val="000000"/>
                <w:sz w:val="16"/>
                <w:szCs w:val="16"/>
              </w:rPr>
              <w:t>5.9</w:t>
            </w:r>
          </w:p>
        </w:tc>
        <w:tc>
          <w:tcPr>
            <w:tcW w:w="772" w:type="pct"/>
            <w:tcBorders>
              <w:top w:val="nil"/>
              <w:left w:val="nil"/>
              <w:bottom w:val="nil"/>
              <w:right w:val="nil"/>
            </w:tcBorders>
            <w:shd w:val="clear" w:color="000000" w:fill="FFFFFF"/>
            <w:vAlign w:val="center"/>
            <w:hideMark/>
          </w:tcPr>
          <w:p w14:paraId="1529853B" w14:textId="77777777" w:rsidR="00FA6793" w:rsidRPr="00FA6793" w:rsidRDefault="00FA6793" w:rsidP="00FA6793">
            <w:pPr>
              <w:spacing w:before="0" w:after="0" w:line="240" w:lineRule="auto"/>
              <w:jc w:val="right"/>
              <w:rPr>
                <w:rFonts w:ascii="Arial" w:hAnsi="Arial" w:cs="Arial"/>
                <w:color w:val="000000"/>
                <w:sz w:val="16"/>
                <w:szCs w:val="16"/>
              </w:rPr>
            </w:pPr>
            <w:r w:rsidRPr="00FA6793">
              <w:rPr>
                <w:rFonts w:ascii="Arial" w:hAnsi="Arial" w:cs="Arial"/>
                <w:color w:val="000000"/>
                <w:sz w:val="16"/>
                <w:szCs w:val="16"/>
              </w:rPr>
              <w:t>18,972</w:t>
            </w:r>
          </w:p>
        </w:tc>
        <w:tc>
          <w:tcPr>
            <w:tcW w:w="772" w:type="pct"/>
            <w:tcBorders>
              <w:top w:val="nil"/>
              <w:left w:val="nil"/>
              <w:bottom w:val="nil"/>
              <w:right w:val="nil"/>
            </w:tcBorders>
            <w:shd w:val="clear" w:color="000000" w:fill="FFFFFF"/>
            <w:vAlign w:val="center"/>
            <w:hideMark/>
          </w:tcPr>
          <w:p w14:paraId="74E8E858" w14:textId="77777777" w:rsidR="00FA6793" w:rsidRPr="00FA6793" w:rsidRDefault="00FA6793" w:rsidP="00FA6793">
            <w:pPr>
              <w:spacing w:before="0" w:after="0" w:line="240" w:lineRule="auto"/>
              <w:jc w:val="right"/>
              <w:rPr>
                <w:rFonts w:ascii="Arial" w:hAnsi="Arial" w:cs="Arial"/>
                <w:color w:val="000000"/>
                <w:sz w:val="16"/>
                <w:szCs w:val="16"/>
              </w:rPr>
            </w:pPr>
            <w:r w:rsidRPr="00FA6793">
              <w:rPr>
                <w:rFonts w:ascii="Arial" w:hAnsi="Arial" w:cs="Arial"/>
                <w:color w:val="000000"/>
                <w:sz w:val="16"/>
                <w:szCs w:val="16"/>
              </w:rPr>
              <w:t>9.0</w:t>
            </w:r>
          </w:p>
        </w:tc>
      </w:tr>
      <w:tr w:rsidR="00FA6793" w:rsidRPr="00FA6793" w14:paraId="3E913FC1" w14:textId="77777777" w:rsidTr="00FA6793">
        <w:trPr>
          <w:trHeight w:hRule="exact" w:val="230"/>
        </w:trPr>
        <w:tc>
          <w:tcPr>
            <w:tcW w:w="1929" w:type="pct"/>
            <w:tcBorders>
              <w:top w:val="single" w:sz="4" w:space="0" w:color="293F5B"/>
              <w:left w:val="nil"/>
              <w:bottom w:val="single" w:sz="4" w:space="0" w:color="293F5B"/>
              <w:right w:val="nil"/>
            </w:tcBorders>
            <w:shd w:val="clear" w:color="000000" w:fill="FFFFFF"/>
            <w:vAlign w:val="center"/>
            <w:hideMark/>
          </w:tcPr>
          <w:p w14:paraId="2C83E5AB" w14:textId="77777777" w:rsidR="00FA6793" w:rsidRPr="00FA6793" w:rsidRDefault="00FA6793" w:rsidP="00FA6793">
            <w:pPr>
              <w:spacing w:before="0" w:after="0" w:line="240" w:lineRule="auto"/>
              <w:rPr>
                <w:rFonts w:ascii="Arial" w:hAnsi="Arial" w:cs="Arial"/>
                <w:b/>
                <w:bCs/>
                <w:color w:val="000000"/>
                <w:sz w:val="16"/>
                <w:szCs w:val="16"/>
              </w:rPr>
            </w:pPr>
            <w:r w:rsidRPr="00FA6793">
              <w:rPr>
                <w:rFonts w:ascii="Arial" w:hAnsi="Arial" w:cs="Arial"/>
                <w:b/>
                <w:bCs/>
                <w:color w:val="000000"/>
                <w:sz w:val="16"/>
                <w:szCs w:val="16"/>
              </w:rPr>
              <w:t>Total Future Fund assets </w:t>
            </w:r>
          </w:p>
        </w:tc>
        <w:tc>
          <w:tcPr>
            <w:tcW w:w="756" w:type="pct"/>
            <w:tcBorders>
              <w:top w:val="single" w:sz="4" w:space="0" w:color="293F5B"/>
              <w:left w:val="nil"/>
              <w:bottom w:val="single" w:sz="4" w:space="0" w:color="293F5B"/>
              <w:right w:val="nil"/>
            </w:tcBorders>
            <w:shd w:val="clear" w:color="000000" w:fill="FFFFFF"/>
            <w:vAlign w:val="center"/>
            <w:hideMark/>
          </w:tcPr>
          <w:p w14:paraId="5B0E90CF" w14:textId="77777777" w:rsidR="00FA6793" w:rsidRPr="00FA6793" w:rsidRDefault="00FA6793" w:rsidP="00FA6793">
            <w:pPr>
              <w:spacing w:before="0" w:after="0" w:line="240" w:lineRule="auto"/>
              <w:jc w:val="right"/>
              <w:rPr>
                <w:rFonts w:ascii="Arial" w:hAnsi="Arial" w:cs="Arial"/>
                <w:b/>
                <w:bCs/>
                <w:color w:val="000000"/>
                <w:sz w:val="16"/>
                <w:szCs w:val="16"/>
              </w:rPr>
            </w:pPr>
            <w:r w:rsidRPr="00FA6793">
              <w:rPr>
                <w:rFonts w:ascii="Arial" w:hAnsi="Arial" w:cs="Arial"/>
                <w:b/>
                <w:bCs/>
                <w:color w:val="000000"/>
                <w:sz w:val="16"/>
                <w:szCs w:val="16"/>
              </w:rPr>
              <w:t>237,853</w:t>
            </w:r>
          </w:p>
        </w:tc>
        <w:tc>
          <w:tcPr>
            <w:tcW w:w="772" w:type="pct"/>
            <w:tcBorders>
              <w:top w:val="single" w:sz="4" w:space="0" w:color="293F5B"/>
              <w:left w:val="nil"/>
              <w:bottom w:val="single" w:sz="4" w:space="0" w:color="293F5B"/>
              <w:right w:val="nil"/>
            </w:tcBorders>
            <w:shd w:val="clear" w:color="000000" w:fill="FFFFFF"/>
            <w:vAlign w:val="center"/>
            <w:hideMark/>
          </w:tcPr>
          <w:p w14:paraId="58D63E2C" w14:textId="77777777" w:rsidR="00FA6793" w:rsidRPr="00FA6793" w:rsidRDefault="00FA6793" w:rsidP="00FA6793">
            <w:pPr>
              <w:spacing w:before="0" w:after="0" w:line="240" w:lineRule="auto"/>
              <w:jc w:val="right"/>
              <w:rPr>
                <w:rFonts w:ascii="Arial" w:hAnsi="Arial" w:cs="Arial"/>
                <w:b/>
                <w:bCs/>
                <w:color w:val="000000"/>
                <w:sz w:val="16"/>
                <w:szCs w:val="16"/>
              </w:rPr>
            </w:pPr>
            <w:r w:rsidRPr="00FA6793">
              <w:rPr>
                <w:rFonts w:ascii="Arial" w:hAnsi="Arial" w:cs="Arial"/>
                <w:b/>
                <w:bCs/>
                <w:color w:val="000000"/>
                <w:sz w:val="16"/>
                <w:szCs w:val="16"/>
              </w:rPr>
              <w:t>100</w:t>
            </w:r>
          </w:p>
        </w:tc>
        <w:tc>
          <w:tcPr>
            <w:tcW w:w="772" w:type="pct"/>
            <w:tcBorders>
              <w:top w:val="single" w:sz="4" w:space="0" w:color="293F5B"/>
              <w:left w:val="nil"/>
              <w:bottom w:val="single" w:sz="4" w:space="0" w:color="293F5B"/>
              <w:right w:val="nil"/>
            </w:tcBorders>
            <w:shd w:val="clear" w:color="000000" w:fill="FFFFFF"/>
            <w:vAlign w:val="center"/>
            <w:hideMark/>
          </w:tcPr>
          <w:p w14:paraId="2E1C0A2F" w14:textId="77777777" w:rsidR="00FA6793" w:rsidRPr="00FA6793" w:rsidRDefault="00FA6793" w:rsidP="00FA6793">
            <w:pPr>
              <w:spacing w:before="0" w:after="0" w:line="240" w:lineRule="auto"/>
              <w:jc w:val="right"/>
              <w:rPr>
                <w:rFonts w:ascii="Arial" w:hAnsi="Arial" w:cs="Arial"/>
                <w:b/>
                <w:bCs/>
                <w:color w:val="000000"/>
                <w:sz w:val="16"/>
                <w:szCs w:val="16"/>
              </w:rPr>
            </w:pPr>
            <w:r w:rsidRPr="00FA6793">
              <w:rPr>
                <w:rFonts w:ascii="Arial" w:hAnsi="Arial" w:cs="Arial"/>
                <w:b/>
                <w:bCs/>
                <w:color w:val="000000"/>
                <w:sz w:val="16"/>
                <w:szCs w:val="16"/>
              </w:rPr>
              <w:t>211,850</w:t>
            </w:r>
          </w:p>
        </w:tc>
        <w:tc>
          <w:tcPr>
            <w:tcW w:w="772" w:type="pct"/>
            <w:tcBorders>
              <w:top w:val="single" w:sz="4" w:space="0" w:color="293F5B"/>
              <w:left w:val="nil"/>
              <w:bottom w:val="single" w:sz="4" w:space="0" w:color="293F5B"/>
              <w:right w:val="nil"/>
            </w:tcBorders>
            <w:shd w:val="clear" w:color="000000" w:fill="FFFFFF"/>
            <w:vAlign w:val="center"/>
            <w:hideMark/>
          </w:tcPr>
          <w:p w14:paraId="04BF6BA5" w14:textId="77777777" w:rsidR="00FA6793" w:rsidRPr="00FA6793" w:rsidRDefault="00FA6793" w:rsidP="00FA6793">
            <w:pPr>
              <w:spacing w:before="0" w:after="0" w:line="240" w:lineRule="auto"/>
              <w:jc w:val="right"/>
              <w:rPr>
                <w:rFonts w:ascii="Arial" w:hAnsi="Arial" w:cs="Arial"/>
                <w:b/>
                <w:bCs/>
                <w:color w:val="000000"/>
                <w:sz w:val="16"/>
                <w:szCs w:val="16"/>
              </w:rPr>
            </w:pPr>
            <w:r w:rsidRPr="00FA6793">
              <w:rPr>
                <w:rFonts w:ascii="Arial" w:hAnsi="Arial" w:cs="Arial"/>
                <w:b/>
                <w:bCs/>
                <w:color w:val="000000"/>
                <w:sz w:val="16"/>
                <w:szCs w:val="16"/>
              </w:rPr>
              <w:t>100</w:t>
            </w:r>
          </w:p>
        </w:tc>
      </w:tr>
    </w:tbl>
    <w:p w14:paraId="7B343940" w14:textId="567D2974" w:rsidR="006C4D3B" w:rsidRPr="00975120" w:rsidRDefault="006C4D3B" w:rsidP="006C4D3B">
      <w:pPr>
        <w:pStyle w:val="ChartandTableFootnote"/>
        <w:rPr>
          <w:color w:val="auto"/>
        </w:rPr>
      </w:pPr>
      <w:r w:rsidRPr="00975120">
        <w:rPr>
          <w:color w:val="auto"/>
        </w:rPr>
        <w:t xml:space="preserve">Note: </w:t>
      </w:r>
      <w:r w:rsidRPr="00975120">
        <w:rPr>
          <w:color w:val="auto"/>
        </w:rPr>
        <w:tab/>
        <w:t>Figures may not sum due to rounding.</w:t>
      </w:r>
    </w:p>
    <w:p w14:paraId="1D853813" w14:textId="77777777" w:rsidR="006C4D3B" w:rsidRPr="00975120" w:rsidRDefault="006C4D3B" w:rsidP="00220AE0">
      <w:pPr>
        <w:pStyle w:val="TableLine"/>
      </w:pPr>
    </w:p>
    <w:p w14:paraId="1AC4F311" w14:textId="77777777" w:rsidR="006C4D3B" w:rsidRPr="00975120" w:rsidRDefault="006C4D3B" w:rsidP="006F0344">
      <w:pPr>
        <w:pStyle w:val="Heading5"/>
      </w:pPr>
      <w:proofErr w:type="spellStart"/>
      <w:r w:rsidRPr="00975120">
        <w:t>DisabilityCare</w:t>
      </w:r>
      <w:proofErr w:type="spellEnd"/>
      <w:r w:rsidRPr="00975120">
        <w:t xml:space="preserve"> Australia Fund</w:t>
      </w:r>
    </w:p>
    <w:p w14:paraId="10AD9591" w14:textId="77777777" w:rsidR="006C4D3B" w:rsidRPr="00975120" w:rsidRDefault="006C4D3B" w:rsidP="006C4D3B">
      <w:r w:rsidRPr="00975120">
        <w:t xml:space="preserve">The </w:t>
      </w:r>
      <w:proofErr w:type="spellStart"/>
      <w:r w:rsidRPr="00975120">
        <w:t>DisabilityCare</w:t>
      </w:r>
      <w:proofErr w:type="spellEnd"/>
      <w:r w:rsidRPr="00975120">
        <w:t xml:space="preserve"> Australia Fund (DCAF) was established on 1 July 2014 to assist the Commonwealth and the state and territory governments with spending directly related to the National Disability Insurance Scheme.</w:t>
      </w:r>
    </w:p>
    <w:p w14:paraId="6E4F8C9A" w14:textId="2B8DFE65" w:rsidR="006C4D3B" w:rsidRPr="00975120" w:rsidRDefault="006C4D3B" w:rsidP="006C4D3B">
      <w:pPr>
        <w:keepLines/>
      </w:pPr>
      <w:r w:rsidRPr="00975120">
        <w:t xml:space="preserve">The DCAF is funded by revenue raised from the 0.5 per cent increase in the Medicare levy to 2.0 per cent, set in 2014–15. As </w:t>
      </w:r>
      <w:proofErr w:type="gramStart"/>
      <w:r w:rsidRPr="00975120">
        <w:t>at</w:t>
      </w:r>
      <w:proofErr w:type="gramEnd"/>
      <w:r w:rsidRPr="00975120">
        <w:t xml:space="preserve"> 31 </w:t>
      </w:r>
      <w:r w:rsidR="00252633">
        <w:t xml:space="preserve">December </w:t>
      </w:r>
      <w:r w:rsidRPr="00975120">
        <w:t>2024, the DCAF had received credits totalling $</w:t>
      </w:r>
      <w:r w:rsidR="00862240">
        <w:t>45.3</w:t>
      </w:r>
      <w:r w:rsidRPr="00975120">
        <w:t> billion. Since inception to 31 </w:t>
      </w:r>
      <w:r w:rsidR="009109FA">
        <w:t xml:space="preserve">December </w:t>
      </w:r>
      <w:r w:rsidRPr="00975120">
        <w:t>2024, $2</w:t>
      </w:r>
      <w:r w:rsidR="009109FA">
        <w:t>8</w:t>
      </w:r>
      <w:r w:rsidR="006176DE">
        <w:t>.7</w:t>
      </w:r>
      <w:r w:rsidR="008127EA">
        <w:t> </w:t>
      </w:r>
      <w:r w:rsidRPr="00975120">
        <w:t xml:space="preserve">billion has been paid from the DCAF. </w:t>
      </w:r>
    </w:p>
    <w:p w14:paraId="7CD1E13C" w14:textId="218D3400" w:rsidR="006C4D3B" w:rsidRPr="00975120" w:rsidRDefault="006C4D3B" w:rsidP="006C4D3B">
      <w:pPr>
        <w:keepLines/>
      </w:pPr>
      <w:r w:rsidRPr="00975120">
        <w:t>The investments of the DCAF are managed by the Future Fund Board. The Investment Mandate for the DCAF provides guidance to the Future Fund Board in relation to its investment strategy for the DCAF. The DCAF Investment Mandate sets a benchmark return of the Australian 3</w:t>
      </w:r>
      <w:r w:rsidR="005344FD" w:rsidRPr="00975120">
        <w:noBreakHyphen/>
      </w:r>
      <w:r w:rsidRPr="00975120">
        <w:t>month bank bill swap rate plus 0.3 per cent per annum calculated on a rolling 12</w:t>
      </w:r>
      <w:r w:rsidR="005344FD" w:rsidRPr="00975120">
        <w:noBreakHyphen/>
      </w:r>
      <w:r w:rsidRPr="00975120">
        <w:t xml:space="preserve">month basis (net of fees). In achieving its objectives, the Board must invest in a way </w:t>
      </w:r>
      <w:r w:rsidR="00B6539C">
        <w:t>that</w:t>
      </w:r>
      <w:r w:rsidRPr="00975120">
        <w:t xml:space="preserve"> minimise</w:t>
      </w:r>
      <w:r w:rsidR="00D866A5">
        <w:t>s</w:t>
      </w:r>
      <w:r w:rsidRPr="00975120">
        <w:t xml:space="preserve"> the probability of capital losses over a 12</w:t>
      </w:r>
      <w:r w:rsidR="005344FD" w:rsidRPr="00975120">
        <w:noBreakHyphen/>
      </w:r>
      <w:r w:rsidRPr="00975120">
        <w:t>month horizon.</w:t>
      </w:r>
    </w:p>
    <w:p w14:paraId="1ABAAD37" w14:textId="12B26725" w:rsidR="006C4D3B" w:rsidRPr="00975120" w:rsidRDefault="006C4D3B" w:rsidP="006C4D3B">
      <w:r w:rsidRPr="00975120">
        <w:lastRenderedPageBreak/>
        <w:t>For the 12</w:t>
      </w:r>
      <w:r w:rsidR="005344FD" w:rsidRPr="00975120">
        <w:noBreakHyphen/>
      </w:r>
      <w:r w:rsidRPr="00975120">
        <w:t>month period ending 31 </w:t>
      </w:r>
      <w:r w:rsidR="00B5694E">
        <w:t xml:space="preserve">December </w:t>
      </w:r>
      <w:r w:rsidRPr="00975120">
        <w:t>2024, the DCAF return was 5.</w:t>
      </w:r>
      <w:r w:rsidR="00B5694E">
        <w:t>2</w:t>
      </w:r>
      <w:r w:rsidRPr="00975120">
        <w:rPr>
          <w:rFonts w:hint="eastAsia"/>
        </w:rPr>
        <w:t> </w:t>
      </w:r>
      <w:r w:rsidRPr="00975120">
        <w:t>per</w:t>
      </w:r>
      <w:r w:rsidRPr="00975120">
        <w:rPr>
          <w:rFonts w:hint="eastAsia"/>
        </w:rPr>
        <w:t> </w:t>
      </w:r>
      <w:r w:rsidRPr="00975120">
        <w:t>cent against the benchmark return of 4.</w:t>
      </w:r>
      <w:r w:rsidR="00B5694E">
        <w:t>8</w:t>
      </w:r>
      <w:r w:rsidRPr="00975120">
        <w:rPr>
          <w:rFonts w:hint="eastAsia"/>
        </w:rPr>
        <w:t> </w:t>
      </w:r>
      <w:r w:rsidRPr="00975120">
        <w:t>per</w:t>
      </w:r>
      <w:r w:rsidRPr="00975120">
        <w:rPr>
          <w:rFonts w:hint="eastAsia"/>
        </w:rPr>
        <w:t> </w:t>
      </w:r>
      <w:r w:rsidRPr="00975120">
        <w:t>cent. The DCAF was valued at $1</w:t>
      </w:r>
      <w:r w:rsidR="00B5694E">
        <w:t>9.</w:t>
      </w:r>
      <w:r w:rsidR="00725DE6">
        <w:t>6</w:t>
      </w:r>
      <w:r w:rsidRPr="00975120">
        <w:rPr>
          <w:rFonts w:hint="eastAsia"/>
        </w:rPr>
        <w:t> </w:t>
      </w:r>
      <w:r w:rsidRPr="00975120">
        <w:t xml:space="preserve">billion as </w:t>
      </w:r>
      <w:proofErr w:type="gramStart"/>
      <w:r w:rsidRPr="00975120">
        <w:t>at</w:t>
      </w:r>
      <w:proofErr w:type="gramEnd"/>
      <w:r w:rsidRPr="00975120">
        <w:t xml:space="preserve"> 31 </w:t>
      </w:r>
      <w:r w:rsidR="00725DE6">
        <w:t xml:space="preserve">December </w:t>
      </w:r>
      <w:r w:rsidRPr="00975120">
        <w:t>2024.</w:t>
      </w:r>
    </w:p>
    <w:p w14:paraId="0693D88C" w14:textId="77777777" w:rsidR="006C4D3B" w:rsidRPr="00975120" w:rsidRDefault="006C4D3B" w:rsidP="000E52E1">
      <w:pPr>
        <w:pStyle w:val="Heading5"/>
      </w:pPr>
      <w:r w:rsidRPr="00975120">
        <w:t>Medical Research Future Fund</w:t>
      </w:r>
    </w:p>
    <w:p w14:paraId="70E723DC" w14:textId="77777777" w:rsidR="006C4D3B" w:rsidRPr="00975120" w:rsidRDefault="006C4D3B" w:rsidP="006C4D3B">
      <w:r w:rsidRPr="00975120">
        <w:t>The Medical Research Future Fund (MRFF) was established on 26 August 2015 to provide additional funding for medical research and medical innovation.</w:t>
      </w:r>
    </w:p>
    <w:p w14:paraId="6E57A72E" w14:textId="5FEE5052" w:rsidR="006C4D3B" w:rsidRPr="00975120" w:rsidRDefault="006C4D3B" w:rsidP="006C4D3B">
      <w:r w:rsidRPr="00975120">
        <w:t>The investments of the MRFF are managed by the Future Fund Board. The Investment Mandate for the MRFF provides broad direction to the Future Fund Board in relation to its investment strategy. The MRFF Investment Mandate sets a benchmark return of the Reserve Bank of Australia</w:t>
      </w:r>
      <w:r w:rsidR="005344FD" w:rsidRPr="00975120">
        <w:t>’</w:t>
      </w:r>
      <w:r w:rsidRPr="00975120">
        <w:t>s Cash Rate target plus 1.5 to 2.0 per cent per</w:t>
      </w:r>
      <w:r w:rsidR="005C05E8">
        <w:t xml:space="preserve"> </w:t>
      </w:r>
      <w:r w:rsidRPr="00975120">
        <w:t>annum, net of costs, over a rolling 10</w:t>
      </w:r>
      <w:r w:rsidR="005344FD" w:rsidRPr="00975120">
        <w:noBreakHyphen/>
      </w:r>
      <w:r w:rsidRPr="00975120">
        <w:t>year term.</w:t>
      </w:r>
    </w:p>
    <w:p w14:paraId="48C90D0B" w14:textId="47CC035A" w:rsidR="00DB0123" w:rsidRPr="00DB0123" w:rsidRDefault="00DB0123" w:rsidP="002709B9">
      <w:bookmarkStart w:id="8" w:name="_Hlk191465694"/>
      <w:r w:rsidRPr="00DB0123">
        <w:t xml:space="preserve">Since inception to 31 </w:t>
      </w:r>
      <w:r w:rsidR="005D2361">
        <w:t>December</w:t>
      </w:r>
      <w:r w:rsidR="000B72E2">
        <w:t xml:space="preserve"> </w:t>
      </w:r>
      <w:r w:rsidRPr="00DB0123">
        <w:t>2024, MRFF investments have returned 4.</w:t>
      </w:r>
      <w:r w:rsidR="001156DE">
        <w:t>9</w:t>
      </w:r>
      <w:r w:rsidRPr="00DB0123">
        <w:t xml:space="preserve"> per cent per</w:t>
      </w:r>
      <w:r w:rsidR="00690868">
        <w:t> </w:t>
      </w:r>
      <w:r w:rsidRPr="00DB0123">
        <w:t>annum against a benchmark return of 3.</w:t>
      </w:r>
      <w:r w:rsidR="00912237">
        <w:t>3</w:t>
      </w:r>
      <w:r w:rsidRPr="00DB0123">
        <w:t xml:space="preserve"> per cent. For the 12</w:t>
      </w:r>
      <w:r w:rsidR="00D60621">
        <w:t>-</w:t>
      </w:r>
      <w:r w:rsidRPr="00DB0123">
        <w:t xml:space="preserve">month period </w:t>
      </w:r>
      <w:proofErr w:type="gramStart"/>
      <w:r w:rsidRPr="00DB0123">
        <w:t xml:space="preserve">ending </w:t>
      </w:r>
      <w:r w:rsidR="00220AE0">
        <w:t xml:space="preserve"> </w:t>
      </w:r>
      <w:r w:rsidRPr="00DB0123">
        <w:t>31</w:t>
      </w:r>
      <w:proofErr w:type="gramEnd"/>
      <w:r w:rsidR="00220AE0">
        <w:t> </w:t>
      </w:r>
      <w:r w:rsidR="00BC4833">
        <w:t>December</w:t>
      </w:r>
      <w:r w:rsidR="00BC4833" w:rsidRPr="00DB0123">
        <w:t xml:space="preserve"> </w:t>
      </w:r>
      <w:r w:rsidRPr="00DB0123">
        <w:t xml:space="preserve">2024, the MRFF’s return was </w:t>
      </w:r>
      <w:r w:rsidR="000F2EAB">
        <w:t>9.1</w:t>
      </w:r>
      <w:r w:rsidR="00985129">
        <w:t> </w:t>
      </w:r>
      <w:r w:rsidRPr="00DB0123">
        <w:t>per</w:t>
      </w:r>
      <w:r w:rsidR="00985129">
        <w:t> </w:t>
      </w:r>
      <w:r w:rsidRPr="00DB0123">
        <w:t>cent against the benchmark return of 5.</w:t>
      </w:r>
      <w:r w:rsidR="00AB4095">
        <w:t>9</w:t>
      </w:r>
      <w:r w:rsidR="00220AE0">
        <w:t> </w:t>
      </w:r>
      <w:r w:rsidRPr="00DB0123">
        <w:t>per cent. The MRFF was valued at $23.</w:t>
      </w:r>
      <w:r w:rsidR="00AB4095">
        <w:t>9</w:t>
      </w:r>
      <w:r w:rsidRPr="00DB0123">
        <w:t xml:space="preserve"> billion as </w:t>
      </w:r>
      <w:proofErr w:type="gramStart"/>
      <w:r w:rsidRPr="00DB0123">
        <w:t>at</w:t>
      </w:r>
      <w:proofErr w:type="gramEnd"/>
      <w:r w:rsidRPr="00DB0123">
        <w:t xml:space="preserve"> 31 </w:t>
      </w:r>
      <w:r w:rsidR="00AB4095">
        <w:t>December</w:t>
      </w:r>
      <w:r w:rsidR="00AB4095" w:rsidRPr="00DB0123">
        <w:t xml:space="preserve"> </w:t>
      </w:r>
      <w:r w:rsidRPr="00DB0123">
        <w:t>2024.</w:t>
      </w:r>
    </w:p>
    <w:bookmarkEnd w:id="8"/>
    <w:p w14:paraId="54B2B488" w14:textId="77777777" w:rsidR="006C4D3B" w:rsidRPr="00975120" w:rsidRDefault="006C4D3B" w:rsidP="008369E3">
      <w:pPr>
        <w:pStyle w:val="Heading5"/>
      </w:pPr>
      <w:r w:rsidRPr="00975120">
        <w:t>Aboriginal and Torres Strait Islander Land and Sea Future Fund</w:t>
      </w:r>
    </w:p>
    <w:p w14:paraId="66C4BB7E" w14:textId="77777777" w:rsidR="006C4D3B" w:rsidRPr="00975120" w:rsidRDefault="006C4D3B" w:rsidP="006C4D3B">
      <w:r w:rsidRPr="00975120">
        <w:t>The Aboriginal and Torres Strait Islander Land and Sea Future Fund (ATSILSFF) was established on 1 February 2019 to support payments to the Indigenous Land and Sea Corporation.</w:t>
      </w:r>
    </w:p>
    <w:p w14:paraId="2459B4CE" w14:textId="7C93508E" w:rsidR="006C4D3B" w:rsidRPr="00975120" w:rsidRDefault="006C4D3B" w:rsidP="006C4D3B">
      <w:r w:rsidRPr="00975120">
        <w:t>The ATSILSFF was seeded with the capital of the former Aboriginal and Torres Strait Islander Land Account (Land Account) – approximately $2.0</w:t>
      </w:r>
      <w:r w:rsidR="008369E3">
        <w:t> </w:t>
      </w:r>
      <w:r w:rsidRPr="00975120">
        <w:t>billion. The Land Account was abolished on the establishment of the ATSILSFF.</w:t>
      </w:r>
    </w:p>
    <w:p w14:paraId="207A091F" w14:textId="258AEC49" w:rsidR="006C4D3B" w:rsidRPr="00975120" w:rsidRDefault="006C4D3B" w:rsidP="006C4D3B">
      <w:r w:rsidRPr="00975120">
        <w:t>The investments of the ATSILSFF are managed by the Future Fund Board. The Investment Mandate for the ATSILSFF provides broad direction to the Future Fund Board in relation to its investment strategy. The ATSILSFF Investment Mandate sets a long</w:t>
      </w:r>
      <w:r w:rsidR="005344FD" w:rsidRPr="00975120">
        <w:noBreakHyphen/>
      </w:r>
      <w:r w:rsidRPr="00975120">
        <w:t>term benchmark return of CPI plus 2.0 to 3.0 per cent per</w:t>
      </w:r>
      <w:r w:rsidR="005C05E8">
        <w:t xml:space="preserve"> </w:t>
      </w:r>
      <w:r w:rsidRPr="00975120">
        <w:t>annum, net of costs.</w:t>
      </w:r>
    </w:p>
    <w:p w14:paraId="04BCAC47" w14:textId="15AE2006" w:rsidR="006C4D3B" w:rsidRPr="00975120" w:rsidRDefault="006C4D3B" w:rsidP="006C4D3B">
      <w:r w:rsidRPr="00975120">
        <w:t>Since inception to 31 </w:t>
      </w:r>
      <w:r w:rsidR="00FC4FE3">
        <w:t xml:space="preserve">December </w:t>
      </w:r>
      <w:r w:rsidRPr="00975120">
        <w:t>2024, ATSILSFF investments have returned 5.</w:t>
      </w:r>
      <w:r w:rsidR="00B7241C">
        <w:t>8</w:t>
      </w:r>
      <w:r w:rsidRPr="00975120">
        <w:rPr>
          <w:rFonts w:hint="eastAsia"/>
        </w:rPr>
        <w:t> </w:t>
      </w:r>
      <w:r w:rsidRPr="00975120">
        <w:t>per</w:t>
      </w:r>
      <w:r w:rsidRPr="00975120">
        <w:rPr>
          <w:rFonts w:hint="eastAsia"/>
        </w:rPr>
        <w:t> </w:t>
      </w:r>
      <w:r w:rsidRPr="00975120">
        <w:t>cent per</w:t>
      </w:r>
      <w:r w:rsidR="00690868">
        <w:t> </w:t>
      </w:r>
      <w:r w:rsidRPr="00975120">
        <w:t>annum against a benchmark return of 5.</w:t>
      </w:r>
      <w:r w:rsidR="00B7241C">
        <w:t>7</w:t>
      </w:r>
      <w:r w:rsidRPr="00975120">
        <w:rPr>
          <w:rFonts w:hint="eastAsia"/>
        </w:rPr>
        <w:t> </w:t>
      </w:r>
      <w:r w:rsidRPr="00975120">
        <w:t>per</w:t>
      </w:r>
      <w:r w:rsidRPr="00975120">
        <w:rPr>
          <w:rFonts w:hint="eastAsia"/>
        </w:rPr>
        <w:t> </w:t>
      </w:r>
      <w:r w:rsidRPr="00975120">
        <w:t>cent. For the 12</w:t>
      </w:r>
      <w:r w:rsidR="005344FD" w:rsidRPr="00975120">
        <w:noBreakHyphen/>
      </w:r>
      <w:r w:rsidRPr="00975120">
        <w:t xml:space="preserve">month period ending </w:t>
      </w:r>
      <w:r w:rsidR="00246A89" w:rsidRPr="00975120">
        <w:t>31</w:t>
      </w:r>
      <w:r w:rsidR="00220AE0">
        <w:t> </w:t>
      </w:r>
      <w:r w:rsidR="00246A89" w:rsidRPr="00975120">
        <w:t>December</w:t>
      </w:r>
      <w:r w:rsidR="00B7241C">
        <w:t xml:space="preserve"> </w:t>
      </w:r>
      <w:r w:rsidRPr="00975120">
        <w:t xml:space="preserve">2024, the ATSILSFF returned </w:t>
      </w:r>
      <w:r w:rsidR="00B7241C">
        <w:t xml:space="preserve">10.3 </w:t>
      </w:r>
      <w:r w:rsidRPr="00975120">
        <w:t>per</w:t>
      </w:r>
      <w:r w:rsidRPr="00975120">
        <w:rPr>
          <w:rFonts w:hint="eastAsia"/>
        </w:rPr>
        <w:t> </w:t>
      </w:r>
      <w:r w:rsidRPr="00975120">
        <w:t xml:space="preserve">cent against a benchmark return of </w:t>
      </w:r>
      <w:r w:rsidR="00246A89">
        <w:t>4.4</w:t>
      </w:r>
      <w:r w:rsidR="00220AE0">
        <w:t> </w:t>
      </w:r>
      <w:r w:rsidRPr="00975120">
        <w:t>per</w:t>
      </w:r>
      <w:r w:rsidRPr="00975120">
        <w:rPr>
          <w:rFonts w:hint="eastAsia"/>
        </w:rPr>
        <w:t> </w:t>
      </w:r>
      <w:r w:rsidRPr="00975120">
        <w:t>cent. The ATSILSFF was valued at $2.</w:t>
      </w:r>
      <w:r w:rsidR="00246A89">
        <w:t>3</w:t>
      </w:r>
      <w:r w:rsidRPr="00975120">
        <w:rPr>
          <w:rFonts w:hint="eastAsia"/>
        </w:rPr>
        <w:t> </w:t>
      </w:r>
      <w:r w:rsidRPr="00975120">
        <w:t xml:space="preserve">billion as </w:t>
      </w:r>
      <w:proofErr w:type="gramStart"/>
      <w:r w:rsidRPr="00975120">
        <w:t>at</w:t>
      </w:r>
      <w:proofErr w:type="gramEnd"/>
      <w:r w:rsidRPr="00975120">
        <w:t xml:space="preserve"> 31 </w:t>
      </w:r>
      <w:r w:rsidR="00246A89">
        <w:t xml:space="preserve">December </w:t>
      </w:r>
      <w:r w:rsidRPr="00975120">
        <w:t>2024.</w:t>
      </w:r>
    </w:p>
    <w:p w14:paraId="5529D43E" w14:textId="77777777" w:rsidR="006C4D3B" w:rsidRPr="00975120" w:rsidRDefault="006C4D3B" w:rsidP="009A280A">
      <w:pPr>
        <w:pStyle w:val="Heading5"/>
      </w:pPr>
      <w:r w:rsidRPr="00975120">
        <w:t>Future Drought Fund</w:t>
      </w:r>
    </w:p>
    <w:p w14:paraId="40C02E0F" w14:textId="77777777" w:rsidR="006C4D3B" w:rsidRPr="00975120" w:rsidRDefault="006C4D3B" w:rsidP="006C4D3B">
      <w:r w:rsidRPr="00975120">
        <w:t>The Future Drought Fund (FDF) was established on 1 September 2019 to fund initiatives that enhance future drought resilience, preparedness and response across Australia.</w:t>
      </w:r>
    </w:p>
    <w:p w14:paraId="27B3BFA1" w14:textId="733A69EC" w:rsidR="006C4D3B" w:rsidRPr="00975120" w:rsidRDefault="006C4D3B" w:rsidP="006C4D3B">
      <w:r w:rsidRPr="00975120">
        <w:t>The FDF provides disbursements of $100.0 million per</w:t>
      </w:r>
      <w:r w:rsidR="00657CD2">
        <w:t xml:space="preserve"> </w:t>
      </w:r>
      <w:r w:rsidRPr="00975120">
        <w:t>annum, with the first disbursement made in July 2020.</w:t>
      </w:r>
      <w:r w:rsidR="00A02F5C">
        <w:t xml:space="preserve"> </w:t>
      </w:r>
    </w:p>
    <w:p w14:paraId="35CB5696" w14:textId="14E451B3" w:rsidR="006C4D3B" w:rsidRPr="00975120" w:rsidRDefault="006C4D3B" w:rsidP="006C4D3B">
      <w:r w:rsidRPr="00975120">
        <w:lastRenderedPageBreak/>
        <w:t>The investments of the FDF are managed by the Future Fund Board. The Investment</w:t>
      </w:r>
      <w:r w:rsidRPr="00975120" w:rsidDel="00A02F5C">
        <w:t xml:space="preserve"> </w:t>
      </w:r>
      <w:r w:rsidRPr="00975120">
        <w:t>Mandate for the FDF provides broad direction to the Future Fund Board in relation to its investment strategy. The FDF Investment Mandate sets a long</w:t>
      </w:r>
      <w:r w:rsidR="005344FD" w:rsidRPr="00975120">
        <w:noBreakHyphen/>
      </w:r>
      <w:r w:rsidRPr="00975120">
        <w:t>term benchmark return of CPI plus 2.0 to 3.0 per cent per</w:t>
      </w:r>
      <w:r w:rsidR="00657CD2">
        <w:t xml:space="preserve"> </w:t>
      </w:r>
      <w:r w:rsidRPr="00975120">
        <w:t>annum, net of costs.</w:t>
      </w:r>
    </w:p>
    <w:p w14:paraId="3732E53D" w14:textId="68B061DB" w:rsidR="00DB0123" w:rsidRPr="00DB0123" w:rsidRDefault="00DB0123" w:rsidP="00DB0123">
      <w:bookmarkStart w:id="9" w:name="_Hlk191465723"/>
      <w:r w:rsidRPr="00DB0123">
        <w:t>Since inception to 31 December 2024, FDF investments have returned 7.5 per cent per</w:t>
      </w:r>
      <w:r w:rsidR="00690868">
        <w:t> </w:t>
      </w:r>
      <w:r w:rsidRPr="00DB0123">
        <w:t xml:space="preserve">annum against a benchmark return of </w:t>
      </w:r>
      <w:r w:rsidR="001636EA" w:rsidRPr="00DB0123">
        <w:t>5.8</w:t>
      </w:r>
      <w:r w:rsidR="00EC3CE8">
        <w:t> per </w:t>
      </w:r>
      <w:r w:rsidRPr="00DB0123">
        <w:t xml:space="preserve">cent. For the </w:t>
      </w:r>
      <w:r w:rsidR="00EC3CE8" w:rsidRPr="00DB0123">
        <w:t>12-month</w:t>
      </w:r>
      <w:r w:rsidRPr="00DB0123">
        <w:t xml:space="preserve"> period ending 31</w:t>
      </w:r>
      <w:r w:rsidR="001C6A45">
        <w:t> </w:t>
      </w:r>
      <w:r w:rsidRPr="00DB0123">
        <w:t>December 2024, the FDF returned 10.3</w:t>
      </w:r>
      <w:r w:rsidR="001C6A45">
        <w:t> </w:t>
      </w:r>
      <w:r w:rsidRPr="00DB0123">
        <w:t>per</w:t>
      </w:r>
      <w:r w:rsidR="001C6A45">
        <w:t> </w:t>
      </w:r>
      <w:r w:rsidRPr="00DB0123">
        <w:t xml:space="preserve">cent against the benchmark return of </w:t>
      </w:r>
      <w:r w:rsidR="00454238">
        <w:t>4.4</w:t>
      </w:r>
      <w:r w:rsidR="001C6A45">
        <w:t> </w:t>
      </w:r>
      <w:r w:rsidRPr="00DB0123">
        <w:t>per</w:t>
      </w:r>
      <w:r w:rsidR="001C6A45">
        <w:t> </w:t>
      </w:r>
      <w:r w:rsidRPr="00DB0123">
        <w:t>cent. The FDF was valued at $</w:t>
      </w:r>
      <w:r w:rsidR="00D30673" w:rsidRPr="00DB0123">
        <w:t xml:space="preserve">5.1 </w:t>
      </w:r>
      <w:r w:rsidRPr="00DB0123">
        <w:t xml:space="preserve">billion as </w:t>
      </w:r>
      <w:proofErr w:type="gramStart"/>
      <w:r w:rsidRPr="00DB0123">
        <w:t>at</w:t>
      </w:r>
      <w:proofErr w:type="gramEnd"/>
      <w:r w:rsidRPr="00DB0123">
        <w:t xml:space="preserve"> 31 December 2024.</w:t>
      </w:r>
    </w:p>
    <w:bookmarkEnd w:id="9"/>
    <w:p w14:paraId="37529DAB" w14:textId="77777777" w:rsidR="006C4D3B" w:rsidRPr="00975120" w:rsidRDefault="006C4D3B" w:rsidP="0060113C">
      <w:pPr>
        <w:pStyle w:val="Heading5"/>
      </w:pPr>
      <w:r w:rsidRPr="00975120">
        <w:t>Disaster Ready Fund</w:t>
      </w:r>
    </w:p>
    <w:p w14:paraId="77777BFD" w14:textId="77777777" w:rsidR="006C4D3B" w:rsidRPr="00975120" w:rsidRDefault="006C4D3B" w:rsidP="006C4D3B">
      <w:r w:rsidRPr="00975120">
        <w:rPr>
          <w:rFonts w:asciiTheme="minorHAnsi" w:hAnsiTheme="minorHAnsi"/>
        </w:rPr>
        <w:t xml:space="preserve">The Disaster Ready Fund (DRF) was initially established as the Emergency Response Fund (ERF) on 12 December 2019 and provided up to $150 million per year for emergency response and recovery, and up to $50 million per year for natural disaster resilience and risk reduction. </w:t>
      </w:r>
    </w:p>
    <w:p w14:paraId="3DDC9511" w14:textId="3D3104DF" w:rsidR="006C4D3B" w:rsidRPr="00975120" w:rsidRDefault="006C4D3B" w:rsidP="006C4D3B">
      <w:r w:rsidRPr="00975120">
        <w:t>On 1 March</w:t>
      </w:r>
      <w:r w:rsidR="0060113C">
        <w:t> </w:t>
      </w:r>
      <w:r w:rsidRPr="00975120">
        <w:t>2023, legislative changes took effect that renamed the ERF as the DRF and allowed up to $200 million per</w:t>
      </w:r>
      <w:r w:rsidR="00657CD2">
        <w:t xml:space="preserve"> </w:t>
      </w:r>
      <w:r w:rsidRPr="00975120">
        <w:t xml:space="preserve">annum to be drawn from the DRF to fund natural disaster resilience and risk reduction from 2023–24 onwards. </w:t>
      </w:r>
    </w:p>
    <w:p w14:paraId="524F8644" w14:textId="0F50C2B5" w:rsidR="006C4D3B" w:rsidRPr="00975120" w:rsidRDefault="006C4D3B" w:rsidP="006C4D3B">
      <w:r w:rsidRPr="00975120">
        <w:t>The investments of the DRF are managed by the Future Fund Board. The Investment Mandate for the DRF provides broad direction to the Future Fund Board in relation to its investment strategy. The DRF Investment Mandate sets a long</w:t>
      </w:r>
      <w:r w:rsidR="005344FD" w:rsidRPr="00975120">
        <w:noBreakHyphen/>
      </w:r>
      <w:r w:rsidRPr="00975120">
        <w:t>term benchmark return of CPI plus 2.0 to 3.0 per cent per</w:t>
      </w:r>
      <w:r w:rsidR="00657CD2">
        <w:t xml:space="preserve"> </w:t>
      </w:r>
      <w:r w:rsidRPr="00975120">
        <w:t>annum, net of costs.</w:t>
      </w:r>
    </w:p>
    <w:p w14:paraId="02B905C3" w14:textId="32F0118E" w:rsidR="00E05B7C" w:rsidRPr="00E05B7C" w:rsidRDefault="00165764" w:rsidP="00E05B7C">
      <w:r w:rsidRPr="00165764">
        <w:t xml:space="preserve">Since inception to 31 </w:t>
      </w:r>
      <w:r w:rsidR="00E91B13">
        <w:t>December</w:t>
      </w:r>
      <w:r w:rsidR="00E91B13" w:rsidRPr="00165764">
        <w:t xml:space="preserve"> </w:t>
      </w:r>
      <w:r w:rsidRPr="00165764">
        <w:t>2024, DRF investments have returned 7.</w:t>
      </w:r>
      <w:r w:rsidR="003C6493">
        <w:t>5</w:t>
      </w:r>
      <w:r w:rsidRPr="00165764">
        <w:t xml:space="preserve"> per cent per</w:t>
      </w:r>
      <w:r w:rsidR="005A6982">
        <w:t> </w:t>
      </w:r>
      <w:r w:rsidRPr="00165764">
        <w:t xml:space="preserve">annum against a benchmark return of </w:t>
      </w:r>
      <w:r w:rsidR="00417E01">
        <w:t>5.8</w:t>
      </w:r>
      <w:r w:rsidRPr="00165764">
        <w:t xml:space="preserve"> per</w:t>
      </w:r>
      <w:r w:rsidR="00506947">
        <w:t> c</w:t>
      </w:r>
      <w:r w:rsidRPr="00165764">
        <w:t xml:space="preserve">ent. For the </w:t>
      </w:r>
      <w:r w:rsidR="00506947" w:rsidRPr="00165764">
        <w:t>12-month</w:t>
      </w:r>
      <w:r w:rsidRPr="00165764">
        <w:t xml:space="preserve"> period ending</w:t>
      </w:r>
      <w:r w:rsidR="00506947">
        <w:t xml:space="preserve"> </w:t>
      </w:r>
      <w:r w:rsidRPr="00165764">
        <w:t>31</w:t>
      </w:r>
      <w:r w:rsidR="00506947">
        <w:t> </w:t>
      </w:r>
      <w:r w:rsidR="00892A4F">
        <w:t>December</w:t>
      </w:r>
      <w:r w:rsidR="00506947">
        <w:t> </w:t>
      </w:r>
      <w:r w:rsidRPr="00165764">
        <w:t xml:space="preserve">2024, the DRF returned </w:t>
      </w:r>
      <w:r w:rsidR="00991F2B">
        <w:t>10.3</w:t>
      </w:r>
      <w:r w:rsidR="00506947">
        <w:t> </w:t>
      </w:r>
      <w:r w:rsidRPr="00165764">
        <w:t>per</w:t>
      </w:r>
      <w:r w:rsidR="00506947">
        <w:t> </w:t>
      </w:r>
      <w:r w:rsidRPr="00165764">
        <w:t>cent against the benchmark return of</w:t>
      </w:r>
      <w:r w:rsidR="00506947">
        <w:t xml:space="preserve"> </w:t>
      </w:r>
      <w:r w:rsidR="00BB3FF2">
        <w:t>4.4</w:t>
      </w:r>
      <w:r w:rsidR="00506947">
        <w:t> </w:t>
      </w:r>
      <w:r w:rsidRPr="00165764">
        <w:t>per</w:t>
      </w:r>
      <w:r w:rsidR="00506947">
        <w:t> </w:t>
      </w:r>
      <w:r w:rsidRPr="00165764">
        <w:t>cent. The DRF was valued at $4.</w:t>
      </w:r>
      <w:r w:rsidR="00142BD4">
        <w:t>9</w:t>
      </w:r>
      <w:r w:rsidR="00506947">
        <w:t> </w:t>
      </w:r>
      <w:r w:rsidRPr="00165764">
        <w:t xml:space="preserve">billion as </w:t>
      </w:r>
      <w:proofErr w:type="gramStart"/>
      <w:r w:rsidRPr="00165764">
        <w:t>at</w:t>
      </w:r>
      <w:proofErr w:type="gramEnd"/>
      <w:r w:rsidRPr="00165764">
        <w:t xml:space="preserve"> 31 </w:t>
      </w:r>
      <w:r w:rsidR="00142BD4">
        <w:t xml:space="preserve">December </w:t>
      </w:r>
      <w:r w:rsidRPr="00165764">
        <w:t>2024.</w:t>
      </w:r>
    </w:p>
    <w:p w14:paraId="2E2F601C" w14:textId="77777777" w:rsidR="006C4D3B" w:rsidRPr="00975120" w:rsidRDefault="006C4D3B" w:rsidP="00506947">
      <w:pPr>
        <w:pStyle w:val="Heading5"/>
      </w:pPr>
      <w:r w:rsidRPr="00975120">
        <w:t xml:space="preserve">Housing Australia Future Fund </w:t>
      </w:r>
    </w:p>
    <w:p w14:paraId="6A86DCA6" w14:textId="77777777" w:rsidR="006C4D3B" w:rsidRPr="00975120" w:rsidRDefault="006C4D3B" w:rsidP="006C4D3B">
      <w:r w:rsidRPr="00975120">
        <w:t>The Housing Australia Future Fund (HAFF) was established on 1 November 2023 and credited with $10.0 billion. The HAFF is an investment vehicle dedicated to supporting and increasing social and affordable housing, as well as supporting other acute housing needs such as Indigenous communities and housing services for women, children and veterans.</w:t>
      </w:r>
    </w:p>
    <w:p w14:paraId="52CBBB46" w14:textId="4847A229" w:rsidR="006C4D3B" w:rsidRPr="00975120" w:rsidRDefault="006C4D3B" w:rsidP="006C4D3B">
      <w:r w:rsidRPr="00975120">
        <w:t>The investments of the HAFF are managed by the Future Fund Board. The Investment Mandate for the HAFF provides broad direction to the Future Fund Board in relation to its investment strategy. The HAFF Investment Mandate sets a long</w:t>
      </w:r>
      <w:r w:rsidR="005344FD" w:rsidRPr="00975120">
        <w:noBreakHyphen/>
      </w:r>
      <w:r w:rsidRPr="00975120">
        <w:t>term benchmark return of CPI plus 2.0</w:t>
      </w:r>
      <w:r w:rsidRPr="00975120">
        <w:rPr>
          <w:rFonts w:hint="eastAsia"/>
        </w:rPr>
        <w:t> </w:t>
      </w:r>
      <w:r w:rsidRPr="00975120">
        <w:t>to 3.0</w:t>
      </w:r>
      <w:r w:rsidRPr="00975120">
        <w:rPr>
          <w:rFonts w:hint="eastAsia"/>
        </w:rPr>
        <w:t> </w:t>
      </w:r>
      <w:r w:rsidRPr="00975120">
        <w:t>per</w:t>
      </w:r>
      <w:r w:rsidRPr="00975120">
        <w:rPr>
          <w:rFonts w:hint="eastAsia"/>
        </w:rPr>
        <w:t> </w:t>
      </w:r>
      <w:r w:rsidRPr="00975120">
        <w:t>cent</w:t>
      </w:r>
      <w:r w:rsidRPr="00975120">
        <w:rPr>
          <w:rFonts w:hint="eastAsia"/>
        </w:rPr>
        <w:t> </w:t>
      </w:r>
      <w:r w:rsidRPr="00975120">
        <w:t>per</w:t>
      </w:r>
      <w:r w:rsidR="00657CD2">
        <w:t xml:space="preserve"> </w:t>
      </w:r>
      <w:r w:rsidRPr="00975120">
        <w:t>annum, net of costs.</w:t>
      </w:r>
    </w:p>
    <w:p w14:paraId="6CDC46A4" w14:textId="6F6854CE" w:rsidR="006C4D3B" w:rsidRDefault="006C4D3B" w:rsidP="006C4D3B">
      <w:r w:rsidRPr="00975120">
        <w:t>Since inception to 31</w:t>
      </w:r>
      <w:r w:rsidRPr="00975120">
        <w:rPr>
          <w:rFonts w:hint="eastAsia"/>
        </w:rPr>
        <w:t> </w:t>
      </w:r>
      <w:r w:rsidR="00530247">
        <w:t xml:space="preserve">December </w:t>
      </w:r>
      <w:r w:rsidRPr="00975120">
        <w:t xml:space="preserve">2024, HAFF investments have returned </w:t>
      </w:r>
      <w:r w:rsidR="00530247">
        <w:t>7.5</w:t>
      </w:r>
      <w:r w:rsidRPr="00975120">
        <w:rPr>
          <w:rFonts w:hint="eastAsia"/>
        </w:rPr>
        <w:t> </w:t>
      </w:r>
      <w:r w:rsidRPr="00975120">
        <w:t>per</w:t>
      </w:r>
      <w:r w:rsidRPr="00975120">
        <w:rPr>
          <w:rFonts w:hint="eastAsia"/>
        </w:rPr>
        <w:t> </w:t>
      </w:r>
      <w:r w:rsidRPr="00975120">
        <w:t>cent</w:t>
      </w:r>
      <w:r w:rsidR="00530247">
        <w:t xml:space="preserve"> per</w:t>
      </w:r>
      <w:r w:rsidR="005A6982">
        <w:t> </w:t>
      </w:r>
      <w:r w:rsidR="00530247">
        <w:t>annum against a benchmark return of 3.7</w:t>
      </w:r>
      <w:r w:rsidR="00506947">
        <w:t> </w:t>
      </w:r>
      <w:r w:rsidR="00530247">
        <w:t>per</w:t>
      </w:r>
      <w:r w:rsidR="00506947">
        <w:t> </w:t>
      </w:r>
      <w:r w:rsidR="00530247">
        <w:t>cent</w:t>
      </w:r>
      <w:r w:rsidRPr="00975120">
        <w:t>. The</w:t>
      </w:r>
      <w:r w:rsidRPr="00975120">
        <w:rPr>
          <w:rFonts w:hint="eastAsia"/>
        </w:rPr>
        <w:t> </w:t>
      </w:r>
      <w:r w:rsidRPr="00975120">
        <w:t>HAFF was valued at $10.</w:t>
      </w:r>
      <w:r w:rsidR="00A17969">
        <w:t>9</w:t>
      </w:r>
      <w:r w:rsidR="00506947">
        <w:t> </w:t>
      </w:r>
      <w:r w:rsidRPr="00975120">
        <w:t xml:space="preserve">billion as </w:t>
      </w:r>
      <w:proofErr w:type="gramStart"/>
      <w:r w:rsidRPr="00975120">
        <w:t>at</w:t>
      </w:r>
      <w:proofErr w:type="gramEnd"/>
      <w:r w:rsidRPr="00975120">
        <w:t xml:space="preserve"> 31</w:t>
      </w:r>
      <w:r w:rsidRPr="00975120">
        <w:rPr>
          <w:rFonts w:hint="eastAsia"/>
        </w:rPr>
        <w:t> </w:t>
      </w:r>
      <w:r w:rsidR="00A17969">
        <w:t xml:space="preserve">December </w:t>
      </w:r>
      <w:r w:rsidRPr="00975120">
        <w:t>2024.</w:t>
      </w:r>
    </w:p>
    <w:p w14:paraId="379EE9BE" w14:textId="77777777" w:rsidR="004970E3" w:rsidRPr="001E6F2A" w:rsidRDefault="004970E3" w:rsidP="004970E3">
      <w:pPr>
        <w:pStyle w:val="Heading5"/>
      </w:pPr>
      <w:r w:rsidRPr="001E6F2A">
        <w:lastRenderedPageBreak/>
        <w:t>Specialist investment vehicles</w:t>
      </w:r>
    </w:p>
    <w:p w14:paraId="6679ECD9" w14:textId="718067D9" w:rsidR="004970E3" w:rsidRDefault="004970E3" w:rsidP="004970E3">
      <w:bookmarkStart w:id="10" w:name="_Hlk193300460"/>
      <w:r w:rsidRPr="002E5D6A">
        <w:t xml:space="preserve">Specialist </w:t>
      </w:r>
      <w:r>
        <w:t>i</w:t>
      </w:r>
      <w:r w:rsidRPr="002E5D6A">
        <w:t xml:space="preserve">nvestment </w:t>
      </w:r>
      <w:r>
        <w:t>v</w:t>
      </w:r>
      <w:r w:rsidRPr="002E5D6A">
        <w:t xml:space="preserve">ehicles </w:t>
      </w:r>
      <w:bookmarkEnd w:id="10"/>
      <w:r w:rsidRPr="00F37E26">
        <w:t xml:space="preserve">make investments in projects, businesses and joint ventures to </w:t>
      </w:r>
      <w:r>
        <w:t>deliver</w:t>
      </w:r>
      <w:r w:rsidRPr="00F37E26">
        <w:t xml:space="preserve"> Australian Government policy objectives. </w:t>
      </w:r>
      <w:r>
        <w:t xml:space="preserve">Each </w:t>
      </w:r>
      <w:r w:rsidR="00D71218">
        <w:t>s</w:t>
      </w:r>
      <w:r w:rsidR="00D71218" w:rsidRPr="002E5D6A">
        <w:t xml:space="preserve">pecialist </w:t>
      </w:r>
      <w:r w:rsidR="00D71218">
        <w:t>i</w:t>
      </w:r>
      <w:r w:rsidR="00D71218" w:rsidRPr="002E5D6A">
        <w:t xml:space="preserve">nvestment </w:t>
      </w:r>
      <w:r w:rsidR="00D71218">
        <w:t>v</w:t>
      </w:r>
      <w:r w:rsidR="00D71218" w:rsidRPr="002E5D6A">
        <w:t xml:space="preserve">ehicle </w:t>
      </w:r>
      <w:r>
        <w:t>has discrete policy objectives</w:t>
      </w:r>
      <w:r w:rsidRPr="00F37E26">
        <w:t xml:space="preserve"> </w:t>
      </w:r>
      <w:r>
        <w:t>and uses a specific set of financial instruments to achieve them, including</w:t>
      </w:r>
      <w:r w:rsidRPr="00F37E26">
        <w:t xml:space="preserve"> concessional loans, debt issuances and equity investments. </w:t>
      </w:r>
    </w:p>
    <w:p w14:paraId="6E801DF7" w14:textId="7EBE6030" w:rsidR="004970E3" w:rsidRDefault="00313920" w:rsidP="004970E3">
      <w:r>
        <w:t>S</w:t>
      </w:r>
      <w:r w:rsidR="00D71218" w:rsidRPr="002E5D6A">
        <w:t xml:space="preserve">pecialist </w:t>
      </w:r>
      <w:r w:rsidR="00D71218">
        <w:t>i</w:t>
      </w:r>
      <w:r w:rsidR="00D71218" w:rsidRPr="002E5D6A">
        <w:t xml:space="preserve">nvestment </w:t>
      </w:r>
      <w:r w:rsidR="00D71218">
        <w:t>v</w:t>
      </w:r>
      <w:r w:rsidR="00D71218" w:rsidRPr="002E5D6A">
        <w:t>ehicle</w:t>
      </w:r>
      <w:r>
        <w:t>s</w:t>
      </w:r>
      <w:r w:rsidR="00D71218" w:rsidRPr="002E5D6A">
        <w:t xml:space="preserve"> </w:t>
      </w:r>
      <w:r w:rsidR="004970E3">
        <w:t xml:space="preserve">are usually corporate Commonwealth entities (CCEs) established by enabling legislation that define the entity’s functions and the roles and responsibilities of the independent board as the accountable authority. </w:t>
      </w:r>
      <w:r w:rsidR="004970E3" w:rsidRPr="001E3B18">
        <w:t>The only exception is the Australian Infrastructure Financing Facility for the Pacific</w:t>
      </w:r>
      <w:r w:rsidR="004970E3">
        <w:t>,</w:t>
      </w:r>
      <w:r w:rsidR="004970E3" w:rsidRPr="001E3B18">
        <w:t xml:space="preserve"> which is </w:t>
      </w:r>
      <w:r w:rsidR="004970E3">
        <w:t>part of the Department of Foreign Affairs and Trade (</w:t>
      </w:r>
      <w:r w:rsidR="004970E3" w:rsidRPr="001E3B18">
        <w:t xml:space="preserve">a </w:t>
      </w:r>
      <w:r w:rsidR="004970E3">
        <w:t>n</w:t>
      </w:r>
      <w:r w:rsidR="004970E3" w:rsidRPr="001E3B18">
        <w:t xml:space="preserve">on-corporate Commonwealth </w:t>
      </w:r>
      <w:r w:rsidR="004970E3">
        <w:t>e</w:t>
      </w:r>
      <w:r w:rsidR="004970E3" w:rsidRPr="001E3B18">
        <w:t>ntity</w:t>
      </w:r>
      <w:r w:rsidR="004970E3">
        <w:t>)</w:t>
      </w:r>
      <w:r w:rsidR="004970E3" w:rsidRPr="001E3B18">
        <w:t>.</w:t>
      </w:r>
      <w:r w:rsidR="004970E3">
        <w:t xml:space="preserve">  </w:t>
      </w:r>
    </w:p>
    <w:p w14:paraId="440A8477" w14:textId="687CFD2F" w:rsidR="004970E3" w:rsidRDefault="004970E3" w:rsidP="004970E3">
      <w:r>
        <w:t xml:space="preserve">The Australian Government has eight </w:t>
      </w:r>
      <w:r w:rsidR="00313920">
        <w:t>s</w:t>
      </w:r>
      <w:r w:rsidR="00313920" w:rsidRPr="002E5D6A">
        <w:t xml:space="preserve">pecialist </w:t>
      </w:r>
      <w:r w:rsidR="00313920">
        <w:t>i</w:t>
      </w:r>
      <w:r w:rsidR="00313920" w:rsidRPr="002E5D6A">
        <w:t xml:space="preserve">nvestment </w:t>
      </w:r>
      <w:r w:rsidR="00313920">
        <w:t>v</w:t>
      </w:r>
      <w:r w:rsidR="00313920" w:rsidRPr="002E5D6A">
        <w:t>ehicle</w:t>
      </w:r>
      <w:r w:rsidR="00313920">
        <w:t>s</w:t>
      </w:r>
      <w:r>
        <w:t>:</w:t>
      </w:r>
    </w:p>
    <w:p w14:paraId="6288AD42" w14:textId="77777777" w:rsidR="004970E3" w:rsidRPr="001B79A6" w:rsidRDefault="004970E3" w:rsidP="004970E3">
      <w:pPr>
        <w:pStyle w:val="Heading6"/>
      </w:pPr>
      <w:r w:rsidRPr="001B79A6">
        <w:t xml:space="preserve">Australian Infrastructure Financing Facility for </w:t>
      </w:r>
      <w:r w:rsidRPr="004C28DF">
        <w:t>the</w:t>
      </w:r>
      <w:r w:rsidRPr="001B79A6">
        <w:t xml:space="preserve"> Pacific </w:t>
      </w:r>
    </w:p>
    <w:p w14:paraId="306BA9A0" w14:textId="77777777" w:rsidR="004970E3" w:rsidRDefault="004970E3" w:rsidP="009C0EF8">
      <w:pPr>
        <w:pStyle w:val="NoSpacing"/>
      </w:pPr>
      <w:r w:rsidRPr="00797A92">
        <w:t xml:space="preserve">The Australian Infrastructure Financing Facility for the Pacific (AIFFP) commenced </w:t>
      </w:r>
      <w:r>
        <w:t xml:space="preserve">on </w:t>
      </w:r>
      <w:r w:rsidRPr="00797A92">
        <w:t>1</w:t>
      </w:r>
      <w:r>
        <w:t> </w:t>
      </w:r>
      <w:r w:rsidRPr="00797A92">
        <w:t>July</w:t>
      </w:r>
      <w:r>
        <w:t> </w:t>
      </w:r>
      <w:r w:rsidRPr="00797A92">
        <w:t xml:space="preserve">2019 and provides grants, loans and guarantees to sovereign, state owned enterprise and private sector partners for infrastructure investments in </w:t>
      </w:r>
      <w:proofErr w:type="gramStart"/>
      <w:r w:rsidRPr="00797A92">
        <w:t>Pacific island</w:t>
      </w:r>
      <w:proofErr w:type="gramEnd"/>
      <w:r w:rsidRPr="00797A92">
        <w:t xml:space="preserve"> countries and Timor-Leste</w:t>
      </w:r>
      <w:r w:rsidRPr="002A732C">
        <w:t>.</w:t>
      </w:r>
      <w:r w:rsidRPr="004E5BF9">
        <w:t xml:space="preserve"> </w:t>
      </w:r>
    </w:p>
    <w:p w14:paraId="2D572123" w14:textId="77777777" w:rsidR="004970E3" w:rsidRDefault="004970E3" w:rsidP="004970E3">
      <w:r>
        <w:t xml:space="preserve">The </w:t>
      </w:r>
      <w:r w:rsidRPr="004E5BF9">
        <w:t>objective</w:t>
      </w:r>
      <w:r>
        <w:t xml:space="preserve"> of AIFFP</w:t>
      </w:r>
      <w:r w:rsidRPr="004E5BF9">
        <w:t xml:space="preserve"> is to advance Australia’s national interest by contributing to a stable, secure and prosperous Pacific.</w:t>
      </w:r>
      <w:r w:rsidRPr="004E5BF9">
        <w:rPr>
          <w:rFonts w:ascii="Times New Roman" w:hAnsi="Times New Roman"/>
        </w:rPr>
        <w:t>​</w:t>
      </w:r>
      <w:r w:rsidRPr="004E5BF9">
        <w:t xml:space="preserve"> AIFFP prioritises projects that assist countries to respond and adapt to climate change risks and impacts, as part of the Government’s Pacific Climate Infrastructure Financing Partnership. </w:t>
      </w:r>
    </w:p>
    <w:p w14:paraId="029F1688" w14:textId="330A6F78" w:rsidR="004970E3" w:rsidRPr="001B79A6" w:rsidRDefault="004970E3" w:rsidP="004970E3">
      <w:r>
        <w:t xml:space="preserve">As </w:t>
      </w:r>
      <w:proofErr w:type="gramStart"/>
      <w:r>
        <w:t>at</w:t>
      </w:r>
      <w:proofErr w:type="gramEnd"/>
      <w:r>
        <w:t xml:space="preserve"> 30 June 2024, </w:t>
      </w:r>
      <w:r w:rsidRPr="004E5BF9">
        <w:t>AIFFP administer</w:t>
      </w:r>
      <w:r w:rsidR="007C5027">
        <w:t>ed</w:t>
      </w:r>
      <w:r w:rsidRPr="004E5BF9">
        <w:t xml:space="preserve"> $1 billion in grants </w:t>
      </w:r>
      <w:r>
        <w:t>of which $480 million had been committed to projects. AIFFP also provides up to $3 billion in loans and guarantees issued by</w:t>
      </w:r>
      <w:r w:rsidRPr="004E5BF9">
        <w:t xml:space="preserve"> </w:t>
      </w:r>
      <w:r>
        <w:t>Export Finance Australia</w:t>
      </w:r>
      <w:r w:rsidRPr="004E5BF9">
        <w:t xml:space="preserve"> </w:t>
      </w:r>
      <w:r>
        <w:t xml:space="preserve">on its behalf </w:t>
      </w:r>
      <w:r w:rsidRPr="004E5BF9">
        <w:t xml:space="preserve">via the National </w:t>
      </w:r>
      <w:r>
        <w:t>I</w:t>
      </w:r>
      <w:r w:rsidRPr="004E5BF9">
        <w:t xml:space="preserve">nterest Account. </w:t>
      </w:r>
    </w:p>
    <w:p w14:paraId="2C301894" w14:textId="77777777" w:rsidR="004970E3" w:rsidRPr="001B79A6" w:rsidRDefault="004970E3" w:rsidP="004970E3">
      <w:pPr>
        <w:pStyle w:val="Heading6"/>
      </w:pPr>
      <w:r w:rsidRPr="001B79A6">
        <w:t>Australian Renewable Energy Agency </w:t>
      </w:r>
    </w:p>
    <w:p w14:paraId="4C2BAFF2" w14:textId="77777777" w:rsidR="004970E3" w:rsidRDefault="004970E3" w:rsidP="004970E3">
      <w:pPr>
        <w:spacing w:before="120" w:after="120"/>
      </w:pPr>
      <w:r>
        <w:t xml:space="preserve">Established as a CCE by the </w:t>
      </w:r>
      <w:r w:rsidRPr="00F52D01">
        <w:rPr>
          <w:rStyle w:val="Emphasis"/>
        </w:rPr>
        <w:t>Australian Renewable Energy Agency Act 2011</w:t>
      </w:r>
      <w:r>
        <w:rPr>
          <w:i/>
          <w:iCs/>
        </w:rPr>
        <w:t>,</w:t>
      </w:r>
      <w:r>
        <w:t xml:space="preserve"> the </w:t>
      </w:r>
      <w:r w:rsidRPr="00BC5163">
        <w:t xml:space="preserve">Australian Renewable Energy Agency </w:t>
      </w:r>
      <w:r>
        <w:t>(</w:t>
      </w:r>
      <w:r w:rsidRPr="001B79A6">
        <w:t>ARENA</w:t>
      </w:r>
      <w:r>
        <w:t>)</w:t>
      </w:r>
      <w:r w:rsidRPr="001B79A6">
        <w:t xml:space="preserve"> provides grant funding to support research, development and </w:t>
      </w:r>
      <w:r>
        <w:t xml:space="preserve">early </w:t>
      </w:r>
      <w:r w:rsidRPr="001B79A6">
        <w:t>commercialisation for renewable energy technology projects.</w:t>
      </w:r>
    </w:p>
    <w:p w14:paraId="52528F40" w14:textId="0CA9B0DF" w:rsidR="00DA13C5" w:rsidRDefault="004970E3" w:rsidP="00A035C0">
      <w:r>
        <w:t xml:space="preserve">ARENA invests in priority sectors including ultra low-cost solar, renewable electricity, renewable hydrogen, low-emissions metals, low-emissions transport, low-carbon liquid fuels and clean energy manufacturing. </w:t>
      </w:r>
      <w:r w:rsidR="00DA13C5">
        <w:br w:type="page"/>
      </w:r>
    </w:p>
    <w:p w14:paraId="683E71B8" w14:textId="17A5E518" w:rsidR="004970E3" w:rsidRDefault="004970E3" w:rsidP="00CC5515">
      <w:r>
        <w:lastRenderedPageBreak/>
        <w:t xml:space="preserve">As it provides grants ARENA does not generate a return on funds invested, however, some projects include contingent recoupment rights. Grants are determined by an independent board based on maximum impact and value. </w:t>
      </w:r>
    </w:p>
    <w:p w14:paraId="3E9D93AF" w14:textId="77777777" w:rsidR="004970E3" w:rsidRDefault="004970E3" w:rsidP="00CC5515">
      <w:pPr>
        <w:rPr>
          <w:rFonts w:ascii="Arial" w:hAnsi="Arial"/>
          <w:bCs/>
          <w:sz w:val="20"/>
          <w:szCs w:val="22"/>
        </w:rPr>
      </w:pPr>
      <w:r>
        <w:t xml:space="preserve">As </w:t>
      </w:r>
      <w:proofErr w:type="gramStart"/>
      <w:r>
        <w:t>at</w:t>
      </w:r>
      <w:proofErr w:type="gramEnd"/>
      <w:r>
        <w:t xml:space="preserve"> 30 June 2024, ARENA was responsible for administering $8.5 billion in grants.</w:t>
      </w:r>
    </w:p>
    <w:p w14:paraId="3E37735F" w14:textId="77777777" w:rsidR="004970E3" w:rsidRPr="001B79A6" w:rsidRDefault="004970E3" w:rsidP="004970E3">
      <w:pPr>
        <w:pStyle w:val="Heading6"/>
      </w:pPr>
      <w:r w:rsidRPr="001B79A6">
        <w:t>Clean Energy Finance Corporation</w:t>
      </w:r>
    </w:p>
    <w:p w14:paraId="7051D255" w14:textId="77777777" w:rsidR="004970E3" w:rsidRDefault="004970E3" w:rsidP="004970E3">
      <w:pPr>
        <w:spacing w:before="120" w:after="120"/>
      </w:pPr>
      <w:r w:rsidRPr="001B79A6">
        <w:t xml:space="preserve">The </w:t>
      </w:r>
      <w:r>
        <w:t>Clean Energy Finance Corporation (</w:t>
      </w:r>
      <w:r w:rsidRPr="001B79A6">
        <w:t>CEFC</w:t>
      </w:r>
      <w:r>
        <w:t>)</w:t>
      </w:r>
      <w:r w:rsidRPr="001B79A6">
        <w:t xml:space="preserve"> was established as a </w:t>
      </w:r>
      <w:r>
        <w:t>CCE by the</w:t>
      </w:r>
      <w:r w:rsidRPr="00E64252">
        <w:rPr>
          <w:i/>
          <w:iCs/>
        </w:rPr>
        <w:t xml:space="preserve"> </w:t>
      </w:r>
      <w:r w:rsidRPr="00F52D01">
        <w:rPr>
          <w:rStyle w:val="Emphasis"/>
        </w:rPr>
        <w:t>Clean Energy Finance Corporation Act 2012</w:t>
      </w:r>
      <w:r w:rsidRPr="001B79A6">
        <w:t xml:space="preserve"> </w:t>
      </w:r>
      <w:r>
        <w:t>(CEFC Act). The CEFC Act defines complying investments as including:</w:t>
      </w:r>
    </w:p>
    <w:p w14:paraId="0DFF0A62" w14:textId="77777777" w:rsidR="004970E3" w:rsidRDefault="004970E3" w:rsidP="004970E3">
      <w:pPr>
        <w:pStyle w:val="Bullet"/>
      </w:pPr>
      <w:r>
        <w:t>clean energy technologies: energy efficiency, low-emission and renewable energy technologies</w:t>
      </w:r>
    </w:p>
    <w:p w14:paraId="0C3DFCB0" w14:textId="77777777" w:rsidR="004970E3" w:rsidRDefault="004970E3" w:rsidP="004970E3">
      <w:pPr>
        <w:pStyle w:val="Bullet"/>
      </w:pPr>
      <w:r>
        <w:t>solely or mainly Australian based: determined by the Board and consistent with the investment mandate</w:t>
      </w:r>
    </w:p>
    <w:p w14:paraId="4113B06C" w14:textId="77777777" w:rsidR="004970E3" w:rsidRDefault="004970E3" w:rsidP="004970E3">
      <w:pPr>
        <w:pStyle w:val="Bullet"/>
      </w:pPr>
      <w:r>
        <w:t>not in prohibited technology; carbon capture and storage, nuclear technology and nuclear power.</w:t>
      </w:r>
    </w:p>
    <w:p w14:paraId="2B63F9D3" w14:textId="77777777" w:rsidR="004970E3" w:rsidRDefault="004970E3" w:rsidP="004970E3">
      <w:r>
        <w:t xml:space="preserve">The CEFC performs its investment functions in accordance with the </w:t>
      </w:r>
      <w:r w:rsidRPr="00C949B2">
        <w:rPr>
          <w:rStyle w:val="Emphasis"/>
        </w:rPr>
        <w:t>Clean Energy Finance Corporation Investment Mandate Direction 2023</w:t>
      </w:r>
      <w:r>
        <w:rPr>
          <w:i/>
          <w:iCs/>
        </w:rPr>
        <w:t>.</w:t>
      </w:r>
      <w:r>
        <w:t xml:space="preserve"> The investment mandate broadly requires the CEFC to facilitate increased flows of finance into t</w:t>
      </w:r>
      <w:r w:rsidRPr="00EA5159">
        <w:t>he clean energy sector and to facilitate the achievement of Australia’s greenhouse gas emissions reduction target</w:t>
      </w:r>
      <w:r>
        <w:t>. The investment mandate also sets out four funds (</w:t>
      </w:r>
      <w:r w:rsidRPr="00F459F1">
        <w:t>the General Portfolio, the Rewiring the Nation Fund, the Specialised Investment Fund and General Portfolio investments</w:t>
      </w:r>
      <w:r>
        <w:t>)</w:t>
      </w:r>
      <w:r w:rsidRPr="00F459F1">
        <w:t>,</w:t>
      </w:r>
      <w:r>
        <w:t xml:space="preserve"> benchmark rates of return for each, portfolio risk and limits on </w:t>
      </w:r>
      <w:proofErr w:type="spellStart"/>
      <w:r>
        <w:t>concessionality</w:t>
      </w:r>
      <w:proofErr w:type="spellEnd"/>
      <w:r>
        <w:t>.</w:t>
      </w:r>
    </w:p>
    <w:p w14:paraId="3573DE48" w14:textId="77777777" w:rsidR="004970E3" w:rsidRPr="001B79A6" w:rsidRDefault="004970E3" w:rsidP="004970E3">
      <w:r>
        <w:t xml:space="preserve">As </w:t>
      </w:r>
      <w:proofErr w:type="gramStart"/>
      <w:r>
        <w:t>at</w:t>
      </w:r>
      <w:proofErr w:type="gramEnd"/>
      <w:r>
        <w:t xml:space="preserve"> 30 June 2024, CEFC had $31.9 billion made available to it for investment, of which $10.9 billion had been committed to projects. </w:t>
      </w:r>
    </w:p>
    <w:p w14:paraId="392346B3" w14:textId="77777777" w:rsidR="004970E3" w:rsidRPr="001B79A6" w:rsidRDefault="004970E3" w:rsidP="004970E3">
      <w:pPr>
        <w:pStyle w:val="Heading6"/>
      </w:pPr>
      <w:r w:rsidRPr="001B79A6">
        <w:t>Export Finance Australia</w:t>
      </w:r>
    </w:p>
    <w:p w14:paraId="195C1300" w14:textId="77777777" w:rsidR="004970E3" w:rsidRPr="001B79A6" w:rsidRDefault="004970E3" w:rsidP="004970E3">
      <w:r>
        <w:t xml:space="preserve">Export Finance Australia (EFA) </w:t>
      </w:r>
      <w:r w:rsidRPr="001B79A6">
        <w:t xml:space="preserve">was established as a </w:t>
      </w:r>
      <w:r>
        <w:t xml:space="preserve">CCE by the </w:t>
      </w:r>
      <w:r w:rsidRPr="002D5AAA">
        <w:rPr>
          <w:rStyle w:val="Emphasis"/>
        </w:rPr>
        <w:t>Export Finance and Insurance Corporation Act 1991</w:t>
      </w:r>
      <w:r>
        <w:t xml:space="preserve">. </w:t>
      </w:r>
      <w:r w:rsidRPr="001B79A6">
        <w:t xml:space="preserve">EFA is the Australian Government’s export credit agency and supports Australian export trade and overseas infrastructure </w:t>
      </w:r>
      <w:r>
        <w:t>development that</w:t>
      </w:r>
      <w:r w:rsidRPr="001B79A6">
        <w:t xml:space="preserve"> benefits Australia, through loans, bonds, guarantees, insurance and equity investments.</w:t>
      </w:r>
      <w:r>
        <w:rPr>
          <w:rFonts w:cs="Book Antiqua"/>
        </w:rPr>
        <w:t xml:space="preserve"> </w:t>
      </w:r>
      <w:r w:rsidRPr="00851A7C">
        <w:rPr>
          <w:rFonts w:cs="Book Antiqua"/>
        </w:rPr>
        <w:t>EFA is a self-funding entity and operates on a commercial basis, charging customers fees and premiums as well as earning interest on loans</w:t>
      </w:r>
      <w:r>
        <w:rPr>
          <w:rFonts w:cs="Book Antiqua"/>
        </w:rPr>
        <w:t xml:space="preserve"> and </w:t>
      </w:r>
      <w:r w:rsidRPr="00851A7C">
        <w:rPr>
          <w:rFonts w:cs="Book Antiqua"/>
        </w:rPr>
        <w:t xml:space="preserve">investments. </w:t>
      </w:r>
    </w:p>
    <w:p w14:paraId="7C51B5E5" w14:textId="2FC60DA7" w:rsidR="004970E3" w:rsidRDefault="004970E3" w:rsidP="004970E3">
      <w:r w:rsidRPr="004D0E99">
        <w:t>EFA provides financial support to exporters on one of two accounts</w:t>
      </w:r>
      <w:r>
        <w:t xml:space="preserve">: the </w:t>
      </w:r>
      <w:r w:rsidRPr="004D0E99">
        <w:t>Commercial Account</w:t>
      </w:r>
      <w:r>
        <w:t>, where</w:t>
      </w:r>
      <w:r w:rsidRPr="004D0E99">
        <w:t xml:space="preserve"> EFA carries all risks </w:t>
      </w:r>
      <w:r>
        <w:t>and los</w:t>
      </w:r>
      <w:r w:rsidR="007C5027">
        <w:t>s</w:t>
      </w:r>
      <w:r>
        <w:t xml:space="preserve">es, </w:t>
      </w:r>
      <w:r w:rsidRPr="004D0E99">
        <w:t>and retains all margins and fees</w:t>
      </w:r>
      <w:r>
        <w:t>;</w:t>
      </w:r>
      <w:r w:rsidRPr="004D0E99">
        <w:t xml:space="preserve"> </w:t>
      </w:r>
      <w:r w:rsidRPr="00D377A3">
        <w:t xml:space="preserve">and the </w:t>
      </w:r>
      <w:r w:rsidRPr="004D0E99">
        <w:t>National Interest Account, where the responsible Minister can direct EFA to support transactions that are in the national interest.</w:t>
      </w:r>
    </w:p>
    <w:p w14:paraId="65BC1CA8" w14:textId="77777777" w:rsidR="004970E3" w:rsidDel="007C2646" w:rsidRDefault="004970E3" w:rsidP="004970E3">
      <w:r>
        <w:t xml:space="preserve">As </w:t>
      </w:r>
      <w:proofErr w:type="gramStart"/>
      <w:r>
        <w:t>at</w:t>
      </w:r>
      <w:proofErr w:type="gramEnd"/>
      <w:r>
        <w:t xml:space="preserve"> 30 June 2024, EFA had $8.6 billion in committed funding, including the loans administered on behalf of AIFFP.</w:t>
      </w:r>
    </w:p>
    <w:p w14:paraId="7CA44CA4" w14:textId="77777777" w:rsidR="004970E3" w:rsidRPr="001B79A6" w:rsidRDefault="004970E3" w:rsidP="004970E3">
      <w:pPr>
        <w:pStyle w:val="Heading6"/>
      </w:pPr>
      <w:r w:rsidRPr="001B79A6">
        <w:lastRenderedPageBreak/>
        <w:t xml:space="preserve">Housing </w:t>
      </w:r>
      <w:r w:rsidRPr="00B571A1">
        <w:t>Australia</w:t>
      </w:r>
    </w:p>
    <w:p w14:paraId="461D3A32" w14:textId="77777777" w:rsidR="004970E3" w:rsidRPr="001B79A6" w:rsidRDefault="004970E3" w:rsidP="004970E3">
      <w:r>
        <w:t>E</w:t>
      </w:r>
      <w:r w:rsidRPr="001B79A6">
        <w:t xml:space="preserve">stablished as a </w:t>
      </w:r>
      <w:r>
        <w:t xml:space="preserve">CCE by the </w:t>
      </w:r>
      <w:r w:rsidRPr="001A4977">
        <w:rPr>
          <w:rStyle w:val="Emphasis"/>
        </w:rPr>
        <w:t>Housing Australia Act 2018</w:t>
      </w:r>
      <w:r>
        <w:t xml:space="preserve"> (Housing Australia Act), </w:t>
      </w:r>
      <w:r w:rsidRPr="001B79A6">
        <w:t>Housing Australia improves social and affordable housing outcomes for Australians through loans and grants, guarantees and capacity development for community housing providers</w:t>
      </w:r>
      <w:r>
        <w:t xml:space="preserve">, and delivering programs to help more Australians access social and affordable housing. Housing Australia performs its investment functions in accordance with its investment mandate. </w:t>
      </w:r>
    </w:p>
    <w:p w14:paraId="6A4E6B80" w14:textId="77777777" w:rsidR="004970E3" w:rsidRDefault="004970E3" w:rsidP="004970E3">
      <w:pPr>
        <w:spacing w:before="120"/>
      </w:pPr>
      <w:r>
        <w:t xml:space="preserve">The investment mandate for Housing Australia outlines the activities and allocation of funds for the Affordable Housing Bond Aggregator (AHBA), the National Housing Infrastructure Facility (NHIF), the Housing Australia Future Fund Facility, the National Housing Accord Facility and the Home Guarantee Scheme. For the AHBA, Housing Australia must target an average return that covers the operating costs of the AHBA and allows it to build an adequate capital reserve. For the NHIF it must target a rate of return that allows it to maintain </w:t>
      </w:r>
      <w:proofErr w:type="gramStart"/>
      <w:r>
        <w:t>a the</w:t>
      </w:r>
      <w:proofErr w:type="gramEnd"/>
      <w:r>
        <w:t xml:space="preserve"> value of funds allocated to it plus the Commonwealth cost of capital.       </w:t>
      </w:r>
    </w:p>
    <w:p w14:paraId="5D7EF772" w14:textId="77777777" w:rsidR="004970E3" w:rsidRDefault="004970E3" w:rsidP="004970E3">
      <w:r>
        <w:t xml:space="preserve">As </w:t>
      </w:r>
      <w:proofErr w:type="gramStart"/>
      <w:r>
        <w:t>at</w:t>
      </w:r>
      <w:proofErr w:type="gramEnd"/>
      <w:r>
        <w:t xml:space="preserve"> 30 June 2024, Housing Australia had $6.8 billion available for investment of which $3.8 billion had been committed to projects. This does not include investments of the </w:t>
      </w:r>
      <w:r w:rsidRPr="00975120">
        <w:t>HAFF</w:t>
      </w:r>
      <w:r>
        <w:t>,</w:t>
      </w:r>
      <w:r w:rsidRPr="00975120">
        <w:t xml:space="preserve"> </w:t>
      </w:r>
      <w:r>
        <w:t>which is administered by the Future</w:t>
      </w:r>
      <w:r w:rsidRPr="00975120">
        <w:t xml:space="preserve"> </w:t>
      </w:r>
      <w:r>
        <w:t xml:space="preserve">Fund and </w:t>
      </w:r>
      <w:r w:rsidRPr="00975120">
        <w:t>was valued at $10.</w:t>
      </w:r>
      <w:r>
        <w:t>9 </w:t>
      </w:r>
      <w:r w:rsidRPr="00975120">
        <w:t xml:space="preserve">billion as </w:t>
      </w:r>
      <w:proofErr w:type="gramStart"/>
      <w:r w:rsidRPr="00975120">
        <w:t>at</w:t>
      </w:r>
      <w:proofErr w:type="gramEnd"/>
      <w:r w:rsidRPr="00975120">
        <w:t xml:space="preserve"> 31</w:t>
      </w:r>
      <w:r w:rsidRPr="00975120">
        <w:rPr>
          <w:rFonts w:hint="eastAsia"/>
        </w:rPr>
        <w:t> </w:t>
      </w:r>
      <w:r>
        <w:t xml:space="preserve">December </w:t>
      </w:r>
      <w:r w:rsidRPr="00975120">
        <w:t>2024</w:t>
      </w:r>
      <w:r>
        <w:t>.</w:t>
      </w:r>
    </w:p>
    <w:p w14:paraId="6AE7CA78" w14:textId="77777777" w:rsidR="004970E3" w:rsidRPr="001B79A6" w:rsidRDefault="004970E3" w:rsidP="004970E3">
      <w:pPr>
        <w:pStyle w:val="Heading6"/>
      </w:pPr>
      <w:r w:rsidRPr="001B79A6">
        <w:t>National Reconstruction Fund Corporation</w:t>
      </w:r>
    </w:p>
    <w:p w14:paraId="594F59AC" w14:textId="77777777" w:rsidR="004970E3" w:rsidRDefault="004970E3" w:rsidP="004970E3">
      <w:r w:rsidRPr="00F2474F">
        <w:t xml:space="preserve">The </w:t>
      </w:r>
      <w:r>
        <w:t>National Reconstruction Fund Corporation (</w:t>
      </w:r>
      <w:r w:rsidRPr="00F2474F">
        <w:t>NRFC</w:t>
      </w:r>
      <w:r>
        <w:t>)</w:t>
      </w:r>
      <w:r w:rsidRPr="00F2474F">
        <w:t xml:space="preserve"> was established </w:t>
      </w:r>
      <w:r>
        <w:t>as a CCE</w:t>
      </w:r>
      <w:r w:rsidRPr="00F2474F">
        <w:t xml:space="preserve"> </w:t>
      </w:r>
      <w:r>
        <w:t xml:space="preserve">by the </w:t>
      </w:r>
      <w:r w:rsidRPr="001A4977">
        <w:rPr>
          <w:rStyle w:val="Emphasis"/>
        </w:rPr>
        <w:t>National Reconstruction Fund Corporation Act 2023</w:t>
      </w:r>
      <w:r w:rsidRPr="00F2474F">
        <w:t>. The NRFC makes investment decisions to support, diversify and transform Australia's industry and economy, help to create secure, well-paid jobs, secur</w:t>
      </w:r>
      <w:r>
        <w:t>e</w:t>
      </w:r>
      <w:r w:rsidRPr="00F2474F">
        <w:t xml:space="preserve"> future prosperity, and driv</w:t>
      </w:r>
      <w:r>
        <w:t>e</w:t>
      </w:r>
      <w:r w:rsidRPr="00F2474F">
        <w:t xml:space="preserve"> sustainable economic growth. </w:t>
      </w:r>
      <w:r>
        <w:t>The NRFC</w:t>
      </w:r>
      <w:r w:rsidRPr="00F2474F">
        <w:t xml:space="preserve"> provides debt, equity and guarantees to facilitate increased flows of finance into </w:t>
      </w:r>
      <w:r>
        <w:t>the following</w:t>
      </w:r>
      <w:r w:rsidRPr="00F2474F">
        <w:t xml:space="preserve"> priority areas of the Australian economy</w:t>
      </w:r>
      <w:r>
        <w:t xml:space="preserve"> identified in regulation:</w:t>
      </w:r>
      <w:r w:rsidRPr="00F2474F">
        <w:t xml:space="preserve"> renewables and low emission technologies</w:t>
      </w:r>
      <w:r>
        <w:t>,</w:t>
      </w:r>
      <w:r w:rsidRPr="00F2474F">
        <w:t xml:space="preserve"> value-add in agriculture, forestry and fisheries</w:t>
      </w:r>
      <w:r>
        <w:t>,</w:t>
      </w:r>
      <w:r w:rsidRPr="00F2474F">
        <w:t xml:space="preserve"> transport</w:t>
      </w:r>
      <w:r>
        <w:t>,</w:t>
      </w:r>
      <w:r w:rsidRPr="00F2474F">
        <w:t xml:space="preserve"> medical science</w:t>
      </w:r>
      <w:r>
        <w:t>,</w:t>
      </w:r>
      <w:r w:rsidRPr="00F2474F">
        <w:t xml:space="preserve"> renewables and low emission technologies</w:t>
      </w:r>
      <w:r>
        <w:t>,</w:t>
      </w:r>
      <w:r w:rsidRPr="00F2474F">
        <w:t xml:space="preserve"> defence capability</w:t>
      </w:r>
      <w:r>
        <w:t>, and</w:t>
      </w:r>
      <w:r w:rsidRPr="00F2474F">
        <w:t xml:space="preserve"> enabling capabilities. </w:t>
      </w:r>
    </w:p>
    <w:p w14:paraId="543013E5" w14:textId="77777777" w:rsidR="004970E3" w:rsidRPr="00F2474F" w:rsidRDefault="004970E3" w:rsidP="004970E3">
      <w:r w:rsidRPr="00F2474F">
        <w:t>The NRFC must target an average return of between 2 and 3</w:t>
      </w:r>
      <w:r>
        <w:t> </w:t>
      </w:r>
      <w:r w:rsidRPr="00F2474F">
        <w:t>per</w:t>
      </w:r>
      <w:r>
        <w:t> </w:t>
      </w:r>
      <w:r w:rsidRPr="00F2474F">
        <w:t>cent above the five-year Australian government bond rate</w:t>
      </w:r>
      <w:r>
        <w:t>.</w:t>
      </w:r>
      <w:r w:rsidRPr="00F2474F">
        <w:t xml:space="preserve"> </w:t>
      </w:r>
    </w:p>
    <w:p w14:paraId="53780E0F" w14:textId="38359DA7" w:rsidR="004970E3" w:rsidRDefault="004970E3" w:rsidP="004970E3">
      <w:r>
        <w:t xml:space="preserve">As </w:t>
      </w:r>
      <w:proofErr w:type="gramStart"/>
      <w:r>
        <w:t>at</w:t>
      </w:r>
      <w:proofErr w:type="gramEnd"/>
      <w:r>
        <w:t xml:space="preserve"> 30 June 2024, NRFC had $15.0 billion </w:t>
      </w:r>
      <w:r w:rsidR="00BE169E" w:rsidRPr="00BE169E">
        <w:t>available to it by 2029 for investment</w:t>
      </w:r>
      <w:r>
        <w:t>.</w:t>
      </w:r>
    </w:p>
    <w:p w14:paraId="3FC0356F" w14:textId="77777777" w:rsidR="004970E3" w:rsidRPr="00DF08BF" w:rsidRDefault="004970E3" w:rsidP="004970E3">
      <w:pPr>
        <w:pStyle w:val="Heading6"/>
      </w:pPr>
      <w:r w:rsidRPr="001B79A6">
        <w:t>Northern Australia Infrastructure Facility</w:t>
      </w:r>
    </w:p>
    <w:p w14:paraId="4BCEB0F3" w14:textId="77777777" w:rsidR="004970E3" w:rsidRDefault="004970E3" w:rsidP="004970E3">
      <w:r>
        <w:t xml:space="preserve">The Northern Australia Infrastructure Facility (NAIF) was established as a CCE by the </w:t>
      </w:r>
      <w:r w:rsidRPr="00F10176">
        <w:rPr>
          <w:rStyle w:val="Emphasis"/>
        </w:rPr>
        <w:t>Northern Australia Infrastructure Facility Act 2016</w:t>
      </w:r>
      <w:r>
        <w:t xml:space="preserve"> to provide finance to businesses and infrastructure projects for the development of Northern Australia’s economy. NAIF's area of operation includes </w:t>
      </w:r>
      <w:proofErr w:type="gramStart"/>
      <w:r>
        <w:t>all of</w:t>
      </w:r>
      <w:proofErr w:type="gramEnd"/>
      <w:r>
        <w:t xml:space="preserve"> the Northern Territory and those parts of Queensland and Western Australia above or directly below or intersecting with the Tropic of Capricorn. </w:t>
      </w:r>
      <w:r>
        <w:lastRenderedPageBreak/>
        <w:t>NAIF’s projects stimulate economic growth by attracting private investment and fostering infrastructure development.</w:t>
      </w:r>
    </w:p>
    <w:p w14:paraId="53673B02" w14:textId="77777777" w:rsidR="004970E3" w:rsidRPr="00A03467" w:rsidRDefault="004970E3" w:rsidP="004970E3">
      <w:r w:rsidRPr="00A03467">
        <w:t>The NAIF is required to make investments to support one or more of five Government policy priorities, including</w:t>
      </w:r>
      <w:r>
        <w:t xml:space="preserve">: </w:t>
      </w:r>
      <w:r w:rsidRPr="00A03467">
        <w:t>sustainable and resilient economic development and the alleviation of economic or social disadvantage</w:t>
      </w:r>
      <w:r>
        <w:t>;</w:t>
      </w:r>
      <w:r w:rsidRPr="00A03467">
        <w:t xml:space="preserve"> key infrastructure projects</w:t>
      </w:r>
      <w:r>
        <w:t>; </w:t>
      </w:r>
      <w:r w:rsidRPr="00A03467">
        <w:t>sustainability, climate change and circular economy principle</w:t>
      </w:r>
      <w:r>
        <w:t>s;</w:t>
      </w:r>
      <w:r w:rsidRPr="00A03467">
        <w:t xml:space="preserve"> realising the Critical Minerals Strategy</w:t>
      </w:r>
      <w:r>
        <w:t xml:space="preserve">; and </w:t>
      </w:r>
      <w:r w:rsidRPr="00A03467">
        <w:t xml:space="preserve">materially improving the lives of Indigenous people and communities. </w:t>
      </w:r>
    </w:p>
    <w:p w14:paraId="3A4FA8AC" w14:textId="77777777" w:rsidR="004970E3" w:rsidRDefault="004970E3" w:rsidP="004970E3">
      <w:r>
        <w:t xml:space="preserve">When providing financial assistance, which is primarily through loans, the NAIF must be satisfied that the return is likely to cover at least its administrative costs and the Commonwealth’s cost of borrowing. </w:t>
      </w:r>
      <w:r w:rsidRPr="00A03467">
        <w:t xml:space="preserve">For equity or equity-like investments the NAIF must target a return of at least the five-year Australian Government bond rate plus a premium of 3 per cent per annum. </w:t>
      </w:r>
    </w:p>
    <w:p w14:paraId="1D06AC5F" w14:textId="77777777" w:rsidR="004970E3" w:rsidRDefault="004970E3" w:rsidP="004970E3">
      <w:r>
        <w:t xml:space="preserve">As </w:t>
      </w:r>
      <w:proofErr w:type="gramStart"/>
      <w:r>
        <w:t>at</w:t>
      </w:r>
      <w:proofErr w:type="gramEnd"/>
      <w:r>
        <w:t xml:space="preserve"> 30 June 2024, NAIF had $7.0 billion made available to it for investment of which $3.6 billion had been committed to projects.</w:t>
      </w:r>
    </w:p>
    <w:p w14:paraId="240F82D8" w14:textId="77777777" w:rsidR="004970E3" w:rsidRPr="001B79A6" w:rsidRDefault="004970E3" w:rsidP="004970E3">
      <w:pPr>
        <w:pStyle w:val="Heading6"/>
      </w:pPr>
      <w:r w:rsidRPr="001B79A6">
        <w:t>Regional Investment Corporation</w:t>
      </w:r>
    </w:p>
    <w:p w14:paraId="021B5324" w14:textId="77777777" w:rsidR="004970E3" w:rsidRDefault="004970E3" w:rsidP="004970E3">
      <w:r>
        <w:t>E</w:t>
      </w:r>
      <w:r w:rsidRPr="001B79A6">
        <w:t xml:space="preserve">stablished </w:t>
      </w:r>
      <w:r>
        <w:t xml:space="preserve">as a CCE by the </w:t>
      </w:r>
      <w:r w:rsidRPr="00F10176">
        <w:rPr>
          <w:rStyle w:val="Emphasis"/>
        </w:rPr>
        <w:t>Regional Investment Corporation Act 2018</w:t>
      </w:r>
      <w:r>
        <w:t xml:space="preserve">, the Regional Investment Corporation (RIC) </w:t>
      </w:r>
      <w:r w:rsidRPr="002C5BB1">
        <w:t>administer</w:t>
      </w:r>
      <w:r>
        <w:t>s</w:t>
      </w:r>
      <w:r w:rsidRPr="002C5BB1">
        <w:t xml:space="preserve"> </w:t>
      </w:r>
      <w:r w:rsidRPr="00E64252">
        <w:t>concessional</w:t>
      </w:r>
      <w:r w:rsidRPr="00E64252">
        <w:rPr>
          <w:rFonts w:hint="eastAsia"/>
        </w:rPr>
        <w:t> </w:t>
      </w:r>
      <w:r w:rsidRPr="00E64252">
        <w:t>loans for farm businesses</w:t>
      </w:r>
      <w:r>
        <w:t>. These loans</w:t>
      </w:r>
      <w:r w:rsidRPr="002C5BB1">
        <w:t xml:space="preserve"> support the resilience and sustainability of Australia’s agricultural economy, with a focus on assisting eligible farm businesses and farm-related businesses to remain prosperous and grow. </w:t>
      </w:r>
      <w:r w:rsidRPr="008F5AAA">
        <w:t xml:space="preserve"> </w:t>
      </w:r>
    </w:p>
    <w:p w14:paraId="6D51482B" w14:textId="77777777" w:rsidR="004970E3" w:rsidRPr="001B79A6" w:rsidRDefault="004970E3" w:rsidP="004970E3">
      <w:r w:rsidRPr="002C5BB1">
        <w:t>RIC loans can be used to prepare for, manage through, and recover from severe financial disruption outside of a farmer’s control such as drought, natural disasters, biosecurity and market issues. RIC loans can also be used to help new and next generation farmers set up farms and keep farms in the family through succession planning.</w:t>
      </w:r>
      <w:r>
        <w:t xml:space="preserve"> </w:t>
      </w:r>
      <w:proofErr w:type="gramStart"/>
      <w:r>
        <w:rPr>
          <w:lang w:val="en-US"/>
        </w:rPr>
        <w:t>The majority of</w:t>
      </w:r>
      <w:proofErr w:type="gramEnd"/>
      <w:r w:rsidRPr="00DB39A7">
        <w:t xml:space="preserve"> RIC loans provide up to 5 years interest-only and a 10-year loan term, allowing </w:t>
      </w:r>
      <w:r>
        <w:t>borrowers</w:t>
      </w:r>
      <w:r w:rsidRPr="00DB39A7">
        <w:t xml:space="preserve"> to generate positive cashflows before repayment of principal. </w:t>
      </w:r>
      <w:r>
        <w:t xml:space="preserve">The RIC sets the variable interest rates on its loan products with reference to the average Australian Government 10-year bond rate plus a margin. </w:t>
      </w:r>
    </w:p>
    <w:p w14:paraId="624A8D63" w14:textId="77777777" w:rsidR="004970E3" w:rsidRDefault="004970E3" w:rsidP="004970E3">
      <w:r>
        <w:t xml:space="preserve">As </w:t>
      </w:r>
      <w:proofErr w:type="gramStart"/>
      <w:r>
        <w:t>at</w:t>
      </w:r>
      <w:proofErr w:type="gramEnd"/>
      <w:r>
        <w:t xml:space="preserve"> 30 June 2024, RIC had $3.8 billion made available to it for investments of which $3.1 billion had been provided as loans to customers.</w:t>
      </w:r>
    </w:p>
    <w:p w14:paraId="598EF617" w14:textId="77777777" w:rsidR="006C4D3B" w:rsidRPr="001E6F2A" w:rsidRDefault="006C4D3B" w:rsidP="006C4D3B">
      <w:pPr>
        <w:pStyle w:val="Heading4"/>
      </w:pPr>
      <w:r w:rsidRPr="001E6F2A">
        <w:t>Equity investments</w:t>
      </w:r>
    </w:p>
    <w:p w14:paraId="5C83BB94" w14:textId="77777777" w:rsidR="006C4D3B" w:rsidRDefault="006C4D3B" w:rsidP="006C4D3B">
      <w:pPr>
        <w:spacing w:after="160"/>
      </w:pPr>
      <w:r w:rsidRPr="00EA2D4B">
        <w:t xml:space="preserve">Equity investments is comprised of </w:t>
      </w:r>
      <w:r>
        <w:t>three</w:t>
      </w:r>
      <w:r w:rsidRPr="00EA2D4B">
        <w:t xml:space="preserve"> components: </w:t>
      </w:r>
    </w:p>
    <w:p w14:paraId="44BFF3D5" w14:textId="2F5ABF6D" w:rsidR="006C4D3B" w:rsidRPr="00D97D6E" w:rsidRDefault="006C4D3B" w:rsidP="00D97D6E">
      <w:pPr>
        <w:pStyle w:val="Bullet"/>
      </w:pPr>
      <w:r w:rsidRPr="00D97D6E">
        <w:t>investments in those Government Business Enterprises that are public non</w:t>
      </w:r>
      <w:r w:rsidR="005344FD" w:rsidRPr="00D97D6E">
        <w:noBreakHyphen/>
      </w:r>
      <w:r w:rsidRPr="00D97D6E">
        <w:t xml:space="preserve">financial corporations including NBN Co, Snowy Hydro Limited and the Australian Rail Track Corporation. </w:t>
      </w:r>
    </w:p>
    <w:p w14:paraId="12FA0EC5" w14:textId="4C081A72" w:rsidR="006C4D3B" w:rsidRPr="00D97D6E" w:rsidRDefault="006C4D3B" w:rsidP="00D97D6E">
      <w:pPr>
        <w:pStyle w:val="Bullet"/>
      </w:pPr>
      <w:r w:rsidRPr="00D97D6E">
        <w:t xml:space="preserve">investments in other public sector entities outside the </w:t>
      </w:r>
      <w:r w:rsidR="008E77A7" w:rsidRPr="00D97D6E">
        <w:t>General Government Sector</w:t>
      </w:r>
      <w:r w:rsidRPr="00D97D6E">
        <w:t xml:space="preserve">, including certain components of specialist investment vehicles such as Export Finance </w:t>
      </w:r>
      <w:r w:rsidRPr="00D97D6E">
        <w:lastRenderedPageBreak/>
        <w:t>Australia and Housing Australia, and investments held by specialist investment vehicles</w:t>
      </w:r>
      <w:r w:rsidRPr="00D97D6E" w:rsidDel="00D65AE2">
        <w:t xml:space="preserve"> </w:t>
      </w:r>
      <w:r w:rsidRPr="00D97D6E">
        <w:t xml:space="preserve">inside the </w:t>
      </w:r>
      <w:r w:rsidR="008E77A7" w:rsidRPr="00D97D6E">
        <w:t>General Government Sector</w:t>
      </w:r>
      <w:r w:rsidRPr="00D97D6E">
        <w:t>, such as the Clean Energy Finance Corporation and the National Reconstruction Fund Corporation.</w:t>
      </w:r>
    </w:p>
    <w:p w14:paraId="1E154D9F" w14:textId="77777777" w:rsidR="006C4D3B" w:rsidRPr="00D97D6E" w:rsidRDefault="006C4D3B" w:rsidP="00D97D6E">
      <w:pPr>
        <w:pStyle w:val="Bullet"/>
      </w:pPr>
      <w:r w:rsidRPr="00D97D6E">
        <w:t xml:space="preserve">investments held in relation to the Australian Government Investment Funds, such as shares, which are expected to increase steadily over the forward estimates due to additional contributions from Government and expected investment returns over time. </w:t>
      </w:r>
    </w:p>
    <w:p w14:paraId="324F8D20" w14:textId="77777777" w:rsidR="006C4D3B" w:rsidRPr="001E6F2A" w:rsidRDefault="006C4D3B" w:rsidP="006C4D3B">
      <w:pPr>
        <w:pStyle w:val="Heading5"/>
      </w:pPr>
      <w:bookmarkStart w:id="11" w:name="_Hlk162441677"/>
      <w:r w:rsidRPr="001E6F2A">
        <w:t>Government Business Enterprises</w:t>
      </w:r>
    </w:p>
    <w:bookmarkEnd w:id="11"/>
    <w:p w14:paraId="30E5DF97" w14:textId="77777777" w:rsidR="006C4D3B" w:rsidRPr="00807653" w:rsidRDefault="006C4D3B" w:rsidP="006C4D3B">
      <w:r w:rsidRPr="00DA0231">
        <w:t xml:space="preserve">Government Business Enterprises (GBEs) </w:t>
      </w:r>
      <w:r w:rsidRPr="00807653">
        <w:t xml:space="preserve">represent a significant proportion of equity investments held by the Australian Government. </w:t>
      </w:r>
    </w:p>
    <w:p w14:paraId="7DBF6AF5" w14:textId="20C111FB" w:rsidR="006C4D3B" w:rsidRPr="00B04C38" w:rsidRDefault="006C4D3B" w:rsidP="006C4D3B">
      <w:r w:rsidRPr="00B04C38">
        <w:t>These are</w:t>
      </w:r>
      <w:r w:rsidR="00BC5EA7">
        <w:t xml:space="preserve"> </w:t>
      </w:r>
      <w:r w:rsidR="5BF1AE2D" w:rsidRPr="00B04C38">
        <w:t>commercially focused</w:t>
      </w:r>
      <w:r w:rsidRPr="00B04C38">
        <w:t xml:space="preserve"> government owned businesses that are established to fulfil an Australian Government purpose. They make a substantial contribution to the Australian economy by supporting productivity, job creation and Government policy objectives.</w:t>
      </w:r>
    </w:p>
    <w:p w14:paraId="337747AB" w14:textId="77777777" w:rsidR="006C4D3B" w:rsidRDefault="006C4D3B" w:rsidP="005344FD">
      <w:r w:rsidRPr="00AD41F4">
        <w:t xml:space="preserve">Further information on the financial performance of individual GBEs is included in the annual report for each entity, including details of equity contributed by the Australian Government. GBE valuations are updated annually in accordance with Australian </w:t>
      </w:r>
      <w:r>
        <w:t>A</w:t>
      </w:r>
      <w:r w:rsidRPr="00AD41F4">
        <w:t xml:space="preserve">ccounting Standards and reported by </w:t>
      </w:r>
      <w:r>
        <w:t xml:space="preserve">the </w:t>
      </w:r>
      <w:r w:rsidRPr="00AD41F4">
        <w:t xml:space="preserve">relevant portfolio department in </w:t>
      </w:r>
      <w:r w:rsidRPr="00C5758A">
        <w:t xml:space="preserve">its </w:t>
      </w:r>
      <w:r w:rsidRPr="00AD41F4">
        <w:t>annual report.</w:t>
      </w:r>
    </w:p>
    <w:p w14:paraId="0632B917" w14:textId="7E5BF130" w:rsidR="006C4D3B" w:rsidRPr="00463318" w:rsidRDefault="006C4D3B" w:rsidP="00797A92">
      <w:pPr>
        <w:pStyle w:val="Heading4"/>
      </w:pPr>
      <w:r w:rsidRPr="002A23DB">
        <w:t>Non</w:t>
      </w:r>
      <w:r w:rsidR="009C3D79">
        <w:t>-</w:t>
      </w:r>
      <w:r w:rsidRPr="002A23DB">
        <w:t>financial assets</w:t>
      </w:r>
    </w:p>
    <w:p w14:paraId="62F36C4A" w14:textId="393C252A" w:rsidR="006C4D3B" w:rsidRPr="00DD6E30" w:rsidRDefault="006C4D3B" w:rsidP="006C4D3B">
      <w:r w:rsidRPr="00A439D0">
        <w:t xml:space="preserve">The </w:t>
      </w:r>
      <w:r w:rsidRPr="00E62716">
        <w:t>Government</w:t>
      </w:r>
      <w:r w:rsidR="005344FD" w:rsidRPr="00E62716">
        <w:t>’</w:t>
      </w:r>
      <w:r w:rsidRPr="00E62716">
        <w:t>s non</w:t>
      </w:r>
      <w:r w:rsidR="005344FD" w:rsidRPr="00E62716">
        <w:noBreakHyphen/>
      </w:r>
      <w:r w:rsidRPr="00E62716">
        <w:t>financial assets are estimated to be $2</w:t>
      </w:r>
      <w:r w:rsidR="00FB679C" w:rsidRPr="00E62716">
        <w:t>20</w:t>
      </w:r>
      <w:r w:rsidRPr="00E62716">
        <w:t>.</w:t>
      </w:r>
      <w:r w:rsidR="00FB679C" w:rsidRPr="00E62716">
        <w:t>6</w:t>
      </w:r>
      <w:r w:rsidRPr="00E62716">
        <w:rPr>
          <w:rFonts w:hint="eastAsia"/>
        </w:rPr>
        <w:t> </w:t>
      </w:r>
      <w:r w:rsidRPr="00E62716">
        <w:t xml:space="preserve">billion </w:t>
      </w:r>
      <w:proofErr w:type="gramStart"/>
      <w:r w:rsidRPr="00E62716">
        <w:t>at</w:t>
      </w:r>
      <w:proofErr w:type="gramEnd"/>
      <w:r w:rsidRPr="00E62716">
        <w:t xml:space="preserve"> 30 June 202</w:t>
      </w:r>
      <w:r w:rsidR="009E13DD" w:rsidRPr="00E62716">
        <w:t>5</w:t>
      </w:r>
      <w:r w:rsidRPr="00E62716">
        <w:t>, increasing to $25</w:t>
      </w:r>
      <w:r w:rsidR="00525775" w:rsidRPr="00E62716">
        <w:t>7</w:t>
      </w:r>
      <w:r w:rsidR="0053066D">
        <w:t>.</w:t>
      </w:r>
      <w:r w:rsidR="001810D2">
        <w:t>3</w:t>
      </w:r>
      <w:r w:rsidRPr="00E62716">
        <w:rPr>
          <w:rFonts w:hint="eastAsia"/>
        </w:rPr>
        <w:t> </w:t>
      </w:r>
      <w:r w:rsidRPr="00E62716">
        <w:t>billion by 30 June 202</w:t>
      </w:r>
      <w:r w:rsidR="009E13DD" w:rsidRPr="00E62716">
        <w:t>9</w:t>
      </w:r>
      <w:r w:rsidRPr="00E62716">
        <w:t>.</w:t>
      </w:r>
      <w:r w:rsidRPr="00DD6E30">
        <w:t xml:space="preserve"> </w:t>
      </w:r>
    </w:p>
    <w:p w14:paraId="2F8E30EB" w14:textId="204B116A" w:rsidR="006C4D3B" w:rsidRDefault="006C4D3B" w:rsidP="006C4D3B">
      <w:bookmarkStart w:id="12" w:name="_Hlk134008595"/>
      <w:r w:rsidRPr="004E4414">
        <w:t>Non</w:t>
      </w:r>
      <w:r w:rsidR="005344FD">
        <w:noBreakHyphen/>
      </w:r>
      <w:r w:rsidRPr="004E4414">
        <w:t>financial assets comprise assets such as land, buildings and property, plant and equipment and right</w:t>
      </w:r>
      <w:r w:rsidR="005344FD">
        <w:noBreakHyphen/>
      </w:r>
      <w:r w:rsidRPr="004E4414">
        <w:t>of</w:t>
      </w:r>
      <w:r w:rsidR="005344FD">
        <w:noBreakHyphen/>
      </w:r>
      <w:r w:rsidRPr="004E4414">
        <w:t>use lease assets. Non</w:t>
      </w:r>
      <w:r w:rsidR="005344FD">
        <w:noBreakHyphen/>
      </w:r>
      <w:r w:rsidRPr="004E4414">
        <w:t>financial assets are expected to grow consistently over the forward estimates predominantly due to increased investments in Specialised Military Equipment</w:t>
      </w:r>
      <w:r>
        <w:t>.</w:t>
      </w:r>
      <w:r>
        <w:br w:type="page"/>
      </w:r>
    </w:p>
    <w:p w14:paraId="7CF77FA2" w14:textId="77777777" w:rsidR="006C4D3B" w:rsidRPr="001E6F2A" w:rsidRDefault="006C4D3B" w:rsidP="006C4D3B">
      <w:pPr>
        <w:pStyle w:val="Heading2"/>
      </w:pPr>
      <w:r w:rsidRPr="001E6F2A">
        <w:lastRenderedPageBreak/>
        <w:t>Liabilities</w:t>
      </w:r>
    </w:p>
    <w:bookmarkEnd w:id="12"/>
    <w:p w14:paraId="3DE86901" w14:textId="765DFF99" w:rsidR="006C4D3B" w:rsidRPr="00125FC7" w:rsidRDefault="006C4D3B" w:rsidP="006C4D3B">
      <w:r w:rsidRPr="00125FC7">
        <w:t>The Government</w:t>
      </w:r>
      <w:r w:rsidR="005344FD">
        <w:t>’</w:t>
      </w:r>
      <w:r>
        <w:t>s</w:t>
      </w:r>
      <w:r w:rsidRPr="00125FC7">
        <w:t xml:space="preserve"> total liabilities were $1.</w:t>
      </w:r>
      <w:r w:rsidR="001924BC">
        <w:t>4</w:t>
      </w:r>
      <w:r w:rsidRPr="00125FC7">
        <w:rPr>
          <w:rFonts w:hint="eastAsia"/>
        </w:rPr>
        <w:t> </w:t>
      </w:r>
      <w:r w:rsidRPr="00125FC7">
        <w:t xml:space="preserve">trillion </w:t>
      </w:r>
      <w:proofErr w:type="gramStart"/>
      <w:r w:rsidRPr="00125FC7">
        <w:t>at</w:t>
      </w:r>
      <w:proofErr w:type="gramEnd"/>
      <w:r w:rsidRPr="00125FC7">
        <w:t xml:space="preserve"> 30 June 202</w:t>
      </w:r>
      <w:r w:rsidR="001924BC">
        <w:t>4</w:t>
      </w:r>
      <w:r w:rsidRPr="00125FC7">
        <w:t xml:space="preserve">, and are expected to increase to </w:t>
      </w:r>
      <w:r w:rsidRPr="00A021AE">
        <w:t>around $1.</w:t>
      </w:r>
      <w:r w:rsidR="00DC1B71" w:rsidRPr="00A021AE">
        <w:t>8</w:t>
      </w:r>
      <w:r w:rsidRPr="00A021AE">
        <w:rPr>
          <w:rFonts w:hint="eastAsia"/>
        </w:rPr>
        <w:t> </w:t>
      </w:r>
      <w:r w:rsidRPr="00A021AE">
        <w:t>trillion by 30 June 202</w:t>
      </w:r>
      <w:r w:rsidR="001924BC" w:rsidRPr="00A021AE">
        <w:t>9</w:t>
      </w:r>
      <w:r w:rsidRPr="00125FC7">
        <w:t xml:space="preserve">. </w:t>
      </w:r>
    </w:p>
    <w:p w14:paraId="18112EA5" w14:textId="38DC58EC" w:rsidR="006C4D3B" w:rsidRPr="001E6F2A" w:rsidRDefault="006C4D3B" w:rsidP="006C4D3B">
      <w:r w:rsidRPr="001E6F2A">
        <w:t xml:space="preserve">The composition of Australian Government </w:t>
      </w:r>
      <w:r w:rsidR="0088336C" w:rsidRPr="0088336C">
        <w:t>General Government Sector</w:t>
      </w:r>
      <w:r w:rsidR="0088336C" w:rsidRPr="0088336C" w:rsidDel="0088336C">
        <w:t xml:space="preserve"> </w:t>
      </w:r>
      <w:r w:rsidRPr="001E6F2A">
        <w:t xml:space="preserve">liabilities </w:t>
      </w:r>
      <w:proofErr w:type="gramStart"/>
      <w:r w:rsidRPr="001E6F2A">
        <w:t>at</w:t>
      </w:r>
      <w:proofErr w:type="gramEnd"/>
      <w:r w:rsidRPr="001E6F2A">
        <w:t xml:space="preserve"> </w:t>
      </w:r>
      <w:r w:rsidRPr="00F616BC">
        <w:t>30</w:t>
      </w:r>
      <w:r w:rsidR="000303B9">
        <w:t> </w:t>
      </w:r>
      <w:r w:rsidRPr="00F616BC">
        <w:t>June 202</w:t>
      </w:r>
      <w:r w:rsidR="003F24E4">
        <w:t>5</w:t>
      </w:r>
      <w:r w:rsidRPr="00F616BC">
        <w:t xml:space="preserve"> is presented </w:t>
      </w:r>
      <w:r w:rsidRPr="001E6F2A">
        <w:t xml:space="preserve">below in </w:t>
      </w:r>
      <w:r w:rsidRPr="00986EDD">
        <w:t xml:space="preserve">Chart </w:t>
      </w:r>
      <w:r w:rsidR="004A793F">
        <w:t>9</w:t>
      </w:r>
      <w:r w:rsidR="00F10176">
        <w:t>.</w:t>
      </w:r>
      <w:r w:rsidRPr="00986EDD">
        <w:t>B.4</w:t>
      </w:r>
      <w:r w:rsidRPr="001E6F2A">
        <w:t>.</w:t>
      </w:r>
    </w:p>
    <w:p w14:paraId="37105D28" w14:textId="2B749216" w:rsidR="00B36944" w:rsidRDefault="006C4D3B" w:rsidP="002174DF">
      <w:pPr>
        <w:pStyle w:val="ChartMainHeading"/>
      </w:pPr>
      <w:r w:rsidRPr="00D353D4">
        <w:t xml:space="preserve">Chart </w:t>
      </w:r>
      <w:r w:rsidR="004A793F">
        <w:t>9</w:t>
      </w:r>
      <w:r w:rsidR="00EC23D0">
        <w:t>.</w:t>
      </w:r>
      <w:r w:rsidRPr="00D353D4">
        <w:t>B.4: Australian government liabilities composition</w:t>
      </w:r>
    </w:p>
    <w:p w14:paraId="5CD79BCA" w14:textId="55A8C307" w:rsidR="002174DF" w:rsidRPr="002174DF" w:rsidRDefault="00F817FA" w:rsidP="002174DF">
      <w:pPr>
        <w:pStyle w:val="ChartGraphic"/>
      </w:pPr>
      <w:r w:rsidRPr="00F817FA">
        <w:rPr>
          <w:noProof/>
        </w:rPr>
        <w:drawing>
          <wp:inline distT="0" distB="0" distL="0" distR="0" wp14:anchorId="6BFF674C" wp14:editId="56A308C9">
            <wp:extent cx="4895850" cy="3032760"/>
            <wp:effectExtent l="0" t="0" r="0" b="0"/>
            <wp:docPr id="202842029" name="Picture 2" descr="This chart illustrates the Australian Government General Government Sector liabilities composition as at 30 June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42029" name="Picture 2" descr="This chart illustrates the Australian Government General Government Sector liabilities composition as at 30 June 20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95850" cy="3032760"/>
                    </a:xfrm>
                    <a:prstGeom prst="rect">
                      <a:avLst/>
                    </a:prstGeom>
                    <a:noFill/>
                    <a:ln>
                      <a:noFill/>
                    </a:ln>
                  </pic:spPr>
                </pic:pic>
              </a:graphicData>
            </a:graphic>
          </wp:inline>
        </w:drawing>
      </w:r>
    </w:p>
    <w:p w14:paraId="2A528272" w14:textId="77777777" w:rsidR="0089444F" w:rsidRDefault="0089444F" w:rsidP="0089444F">
      <w:pPr>
        <w:pStyle w:val="ChartLine"/>
      </w:pPr>
    </w:p>
    <w:p w14:paraId="0FF59ACC" w14:textId="1967486F" w:rsidR="006C4D3B" w:rsidRPr="00644512" w:rsidRDefault="006C4D3B" w:rsidP="006C4D3B">
      <w:r w:rsidRPr="00644512">
        <w:t>The Government</w:t>
      </w:r>
      <w:r w:rsidR="005344FD">
        <w:t>’</w:t>
      </w:r>
      <w:r>
        <w:t>s</w:t>
      </w:r>
      <w:r w:rsidRPr="00644512">
        <w:t xml:space="preserve"> major liabilities are Australian Government securities on issue (see </w:t>
      </w:r>
      <w:r w:rsidRPr="00344214">
        <w:t xml:space="preserve">Statement </w:t>
      </w:r>
      <w:r w:rsidR="00466DE8" w:rsidRPr="00344214">
        <w:t>6</w:t>
      </w:r>
      <w:r w:rsidRPr="00344214">
        <w:t xml:space="preserve">: </w:t>
      </w:r>
      <w:r w:rsidRPr="00344214">
        <w:rPr>
          <w:rStyle w:val="Emphasis"/>
        </w:rPr>
        <w:t>Debt Statement</w:t>
      </w:r>
      <w:r w:rsidRPr="00644512">
        <w:t xml:space="preserve"> for further information) and public sector employee superannuation liabilities.</w:t>
      </w:r>
    </w:p>
    <w:p w14:paraId="5C40442C" w14:textId="47669171" w:rsidR="006C4D3B" w:rsidRDefault="006C4D3B" w:rsidP="006C4D3B">
      <w:pPr>
        <w:rPr>
          <w:rStyle w:val="Emphasis"/>
        </w:rPr>
      </w:pPr>
      <w:r>
        <w:t>Further information on the Government</w:t>
      </w:r>
      <w:r w:rsidR="005344FD">
        <w:t>’</w:t>
      </w:r>
      <w:r>
        <w:t xml:space="preserve">s borrowings is provided in </w:t>
      </w:r>
      <w:r w:rsidRPr="00344214">
        <w:t>Statement</w:t>
      </w:r>
      <w:r w:rsidRPr="00344214">
        <w:rPr>
          <w:rFonts w:hint="eastAsia"/>
        </w:rPr>
        <w:t> </w:t>
      </w:r>
      <w:r w:rsidR="00466DE8" w:rsidRPr="00344214">
        <w:t>6</w:t>
      </w:r>
      <w:r w:rsidRPr="00344214">
        <w:t>:</w:t>
      </w:r>
      <w:r w:rsidRPr="00344214">
        <w:rPr>
          <w:rFonts w:hint="eastAsia"/>
        </w:rPr>
        <w:t> </w:t>
      </w:r>
      <w:r w:rsidRPr="00344214">
        <w:rPr>
          <w:rStyle w:val="Emphasis"/>
        </w:rPr>
        <w:t>Debt</w:t>
      </w:r>
      <w:r w:rsidRPr="00344214">
        <w:rPr>
          <w:rStyle w:val="Emphasis"/>
          <w:rFonts w:hint="eastAsia"/>
        </w:rPr>
        <w:t> </w:t>
      </w:r>
      <w:r w:rsidRPr="00344214">
        <w:rPr>
          <w:rStyle w:val="Emphasis"/>
        </w:rPr>
        <w:t>Statement</w:t>
      </w:r>
      <w:r w:rsidRPr="00466DE8">
        <w:rPr>
          <w:rStyle w:val="Emphasis"/>
        </w:rPr>
        <w:t>.</w:t>
      </w:r>
      <w:r>
        <w:rPr>
          <w:rStyle w:val="Emphasis"/>
        </w:rPr>
        <w:br w:type="page"/>
      </w:r>
    </w:p>
    <w:p w14:paraId="28843170" w14:textId="77777777" w:rsidR="006C4D3B" w:rsidRPr="001E6F2A" w:rsidRDefault="006C4D3B" w:rsidP="006C4D3B">
      <w:pPr>
        <w:pStyle w:val="Heading3"/>
      </w:pPr>
      <w:r w:rsidRPr="001E6F2A">
        <w:lastRenderedPageBreak/>
        <w:t>Australian Government liabilities over the forward estimates</w:t>
      </w:r>
    </w:p>
    <w:p w14:paraId="72696D47" w14:textId="433D276E" w:rsidR="006C4D3B" w:rsidRPr="001E6F2A" w:rsidRDefault="006C4D3B" w:rsidP="006C4D3B">
      <w:pPr>
        <w:rPr>
          <w:szCs w:val="16"/>
        </w:rPr>
      </w:pPr>
      <w:r w:rsidRPr="001E6F2A">
        <w:rPr>
          <w:szCs w:val="16"/>
        </w:rPr>
        <w:t>The budgeted composition of liabilities on the Australian Government</w:t>
      </w:r>
      <w:r w:rsidR="005344FD">
        <w:rPr>
          <w:szCs w:val="16"/>
        </w:rPr>
        <w:t>’</w:t>
      </w:r>
      <w:r>
        <w:rPr>
          <w:szCs w:val="16"/>
        </w:rPr>
        <w:t>s</w:t>
      </w:r>
      <w:r w:rsidRPr="001E6F2A">
        <w:rPr>
          <w:szCs w:val="16"/>
        </w:rPr>
        <w:t xml:space="preserve"> balance sheet is provided in </w:t>
      </w:r>
      <w:r w:rsidRPr="00ED28F2">
        <w:rPr>
          <w:szCs w:val="16"/>
        </w:rPr>
        <w:t xml:space="preserve">Chart </w:t>
      </w:r>
      <w:r w:rsidR="002C2810">
        <w:rPr>
          <w:szCs w:val="16"/>
        </w:rPr>
        <w:t>9</w:t>
      </w:r>
      <w:r w:rsidR="007425CC">
        <w:rPr>
          <w:szCs w:val="16"/>
        </w:rPr>
        <w:t>.</w:t>
      </w:r>
      <w:r w:rsidRPr="00ED28F2">
        <w:rPr>
          <w:szCs w:val="16"/>
        </w:rPr>
        <w:t>B.5 below</w:t>
      </w:r>
      <w:r w:rsidRPr="001E6F2A">
        <w:rPr>
          <w:szCs w:val="16"/>
        </w:rPr>
        <w:t>.</w:t>
      </w:r>
    </w:p>
    <w:p w14:paraId="7D6D7BDA" w14:textId="1C1E7317" w:rsidR="00827108" w:rsidRDefault="006C4D3B" w:rsidP="0023634D">
      <w:pPr>
        <w:pStyle w:val="ChartMainHeading"/>
        <w:rPr>
          <w:noProof/>
        </w:rPr>
      </w:pPr>
      <w:r w:rsidRPr="00ED28F2">
        <w:t xml:space="preserve">Chart </w:t>
      </w:r>
      <w:r w:rsidR="002C2810">
        <w:t>9</w:t>
      </w:r>
      <w:r w:rsidR="007425CC">
        <w:t>.</w:t>
      </w:r>
      <w:r w:rsidRPr="00ED28F2">
        <w:t>B.5:</w:t>
      </w:r>
      <w:r w:rsidRPr="001E6F2A">
        <w:t xml:space="preserve"> Composition of Australian Government liabilities over the forward estimates</w:t>
      </w:r>
    </w:p>
    <w:p w14:paraId="5C7A3711" w14:textId="2A8BF686" w:rsidR="0023634D" w:rsidRPr="0023634D" w:rsidRDefault="007D3FA0" w:rsidP="0023634D">
      <w:pPr>
        <w:pStyle w:val="ChartGraphic"/>
      </w:pPr>
      <w:bookmarkStart w:id="13" w:name="_1803901105"/>
      <w:bookmarkStart w:id="14" w:name="_1804057478"/>
      <w:bookmarkEnd w:id="13"/>
      <w:bookmarkEnd w:id="14"/>
      <w:r>
        <w:pict w14:anchorId="3367A75A">
          <v:shape id="_x0000_i1027" type="#_x0000_t75" alt="This chart illustrates the Australian Government General Government Sector liabilities composition over the forward estimates." style="width:368.25pt;height:227.25pt">
            <v:imagedata r:id="rId11" o:title=""/>
          </v:shape>
        </w:pict>
      </w:r>
    </w:p>
    <w:p w14:paraId="4EB17B27" w14:textId="77777777" w:rsidR="006C4D3B" w:rsidRPr="005344FD" w:rsidRDefault="006C4D3B" w:rsidP="005344FD">
      <w:pPr>
        <w:pStyle w:val="ChartandTableFootnote"/>
      </w:pPr>
      <w:r w:rsidRPr="005344FD">
        <w:t xml:space="preserve">Note: </w:t>
      </w:r>
      <w:r w:rsidRPr="005344FD">
        <w:tab/>
        <w:t xml:space="preserve">Other </w:t>
      </w:r>
      <w:proofErr w:type="gramStart"/>
      <w:r w:rsidRPr="005344FD">
        <w:t>interest bearing</w:t>
      </w:r>
      <w:proofErr w:type="gramEnd"/>
      <w:r w:rsidRPr="005344FD">
        <w:t xml:space="preserve"> liabilities includes deposits held, loans and lease liabilities. Other provisions and payables </w:t>
      </w:r>
      <w:proofErr w:type="gramStart"/>
      <w:r w:rsidRPr="005344FD">
        <w:t>includes</w:t>
      </w:r>
      <w:proofErr w:type="gramEnd"/>
      <w:r w:rsidRPr="005344FD">
        <w:t xml:space="preserve"> other employee liabilities, suppliers payable, personal benefits payable, subsidies payable, grants payable, other payables and provisions.</w:t>
      </w:r>
    </w:p>
    <w:p w14:paraId="09CE6FFF" w14:textId="77777777" w:rsidR="006C4D3B" w:rsidRPr="0047379E" w:rsidRDefault="006C4D3B" w:rsidP="006C4D3B">
      <w:pPr>
        <w:pStyle w:val="ChartLine"/>
      </w:pPr>
    </w:p>
    <w:p w14:paraId="4FAB4188" w14:textId="77777777" w:rsidR="006C4D3B" w:rsidRPr="008651D0" w:rsidRDefault="006C4D3B" w:rsidP="005344FD">
      <w:pPr>
        <w:rPr>
          <w:b/>
        </w:rPr>
      </w:pPr>
      <w:r w:rsidRPr="008651D0">
        <w:t>Total liabilities are expected to grow consistently over the forward estimates, which is predominantly due to growth in government securities on issue and</w:t>
      </w:r>
      <w:r>
        <w:t xml:space="preserve"> s</w:t>
      </w:r>
      <w:r w:rsidRPr="008651D0">
        <w:t>uperannuation</w:t>
      </w:r>
      <w:r>
        <w:t xml:space="preserve"> </w:t>
      </w:r>
      <w:r w:rsidRPr="008651D0">
        <w:t xml:space="preserve">liabilities. </w:t>
      </w:r>
    </w:p>
    <w:p w14:paraId="77FDEB93" w14:textId="77777777" w:rsidR="006C4D3B" w:rsidRPr="001E6F2A" w:rsidRDefault="006C4D3B" w:rsidP="006C4D3B">
      <w:pPr>
        <w:pStyle w:val="Heading4"/>
      </w:pPr>
      <w:r w:rsidRPr="001E6F2A">
        <w:t>Government securities</w:t>
      </w:r>
    </w:p>
    <w:p w14:paraId="63435931" w14:textId="5D056209" w:rsidR="006C4D3B" w:rsidRPr="001E6F2A" w:rsidRDefault="006C4D3B" w:rsidP="006C4D3B">
      <w:r w:rsidRPr="006D14FE">
        <w:t>Government securities on the Australian Government</w:t>
      </w:r>
      <w:r w:rsidR="005344FD">
        <w:t>’</w:t>
      </w:r>
      <w:r>
        <w:t>s</w:t>
      </w:r>
      <w:r w:rsidRPr="006D14FE">
        <w:t xml:space="preserve"> balance sheet reflect the market value of the Australian Government securities on issue, consistent with external reporting standards. Further detail on the face value of Australian Government securities can be found in </w:t>
      </w:r>
      <w:r w:rsidRPr="00F002C7">
        <w:t xml:space="preserve">Statement </w:t>
      </w:r>
      <w:r w:rsidR="00275345" w:rsidRPr="00F002C7">
        <w:t>6</w:t>
      </w:r>
      <w:r w:rsidRPr="00F002C7">
        <w:t xml:space="preserve">: </w:t>
      </w:r>
      <w:r w:rsidRPr="00F002C7">
        <w:rPr>
          <w:rStyle w:val="Emphasis"/>
        </w:rPr>
        <w:t>Debt Statement</w:t>
      </w:r>
      <w:r w:rsidRPr="00275345">
        <w:rPr>
          <w:rStyle w:val="Emphasis"/>
        </w:rPr>
        <w:t>.</w:t>
      </w:r>
      <w:r>
        <w:t xml:space="preserve"> </w:t>
      </w:r>
    </w:p>
    <w:p w14:paraId="29C19122" w14:textId="40184B4F" w:rsidR="006C4D3B" w:rsidRPr="00415BF5" w:rsidRDefault="006C4D3B" w:rsidP="006C4D3B">
      <w:pPr>
        <w:pStyle w:val="Heading4"/>
      </w:pPr>
      <w:bookmarkStart w:id="15" w:name="_Hlk134008573"/>
      <w:r w:rsidRPr="00415BF5">
        <w:t>Public sector employee superannuation liabilities</w:t>
      </w:r>
    </w:p>
    <w:p w14:paraId="01E98126" w14:textId="4BAE18A6" w:rsidR="006C4D3B" w:rsidRPr="00415BF5" w:rsidRDefault="006C4D3B" w:rsidP="006C4D3B">
      <w:r w:rsidRPr="00415BF5">
        <w:t>Public sector employee superannuation entitlements relating to past and present civilian employees and military personnel are a financial liability on the Government</w:t>
      </w:r>
      <w:r w:rsidR="005344FD" w:rsidRPr="00415BF5">
        <w:t>’</w:t>
      </w:r>
      <w:r w:rsidRPr="00415BF5">
        <w:t xml:space="preserve">s balance sheet. Total superannuation liabilities are projected to be </w:t>
      </w:r>
      <w:r w:rsidRPr="00575D9B">
        <w:t>$</w:t>
      </w:r>
      <w:r w:rsidR="00276F59" w:rsidRPr="00575D9B">
        <w:t>303</w:t>
      </w:r>
      <w:r w:rsidR="002F15BB" w:rsidRPr="00575D9B">
        <w:t>.</w:t>
      </w:r>
      <w:r w:rsidR="005A53BB" w:rsidRPr="00575D9B">
        <w:t>3</w:t>
      </w:r>
      <w:r w:rsidRPr="00415BF5">
        <w:rPr>
          <w:rFonts w:hint="eastAsia"/>
        </w:rPr>
        <w:t> </w:t>
      </w:r>
      <w:r w:rsidRPr="00415BF5">
        <w:t xml:space="preserve">billion </w:t>
      </w:r>
      <w:proofErr w:type="gramStart"/>
      <w:r w:rsidRPr="00415BF5">
        <w:t>at</w:t>
      </w:r>
      <w:proofErr w:type="gramEnd"/>
      <w:r w:rsidRPr="00415BF5">
        <w:t xml:space="preserve"> 30 June</w:t>
      </w:r>
      <w:r w:rsidR="000657BA">
        <w:t> </w:t>
      </w:r>
      <w:r w:rsidRPr="005315B9">
        <w:t>202</w:t>
      </w:r>
      <w:r w:rsidR="002F15BB" w:rsidRPr="005315B9">
        <w:t>5</w:t>
      </w:r>
      <w:r w:rsidRPr="005315B9">
        <w:t>, $</w:t>
      </w:r>
      <w:r w:rsidR="00F77458" w:rsidRPr="005315B9">
        <w:t>340</w:t>
      </w:r>
      <w:r w:rsidR="002F15BB" w:rsidRPr="005315B9">
        <w:t>.</w:t>
      </w:r>
      <w:r w:rsidR="00F77458" w:rsidRPr="005315B9">
        <w:t>6</w:t>
      </w:r>
      <w:r w:rsidRPr="005315B9">
        <w:rPr>
          <w:rFonts w:hint="eastAsia"/>
        </w:rPr>
        <w:t> </w:t>
      </w:r>
      <w:r w:rsidRPr="005315B9">
        <w:t>billion</w:t>
      </w:r>
      <w:r w:rsidRPr="00415BF5">
        <w:t xml:space="preserve"> at 30 June 202</w:t>
      </w:r>
      <w:r w:rsidR="002F15BB">
        <w:t>9</w:t>
      </w:r>
      <w:r w:rsidRPr="00415BF5">
        <w:t xml:space="preserve"> and approximately $50</w:t>
      </w:r>
      <w:r w:rsidR="00CC71D3">
        <w:t>5.9</w:t>
      </w:r>
      <w:r w:rsidRPr="00415BF5">
        <w:rPr>
          <w:rFonts w:hint="eastAsia"/>
        </w:rPr>
        <w:t> </w:t>
      </w:r>
      <w:r w:rsidRPr="00415BF5">
        <w:t>billion at 30 June 2060.</w:t>
      </w:r>
    </w:p>
    <w:p w14:paraId="760C4054" w14:textId="42B40D49" w:rsidR="006C4D3B" w:rsidRPr="00415BF5" w:rsidRDefault="006C4D3B" w:rsidP="006C4D3B">
      <w:pPr>
        <w:keepLines/>
      </w:pPr>
      <w:r w:rsidRPr="00415BF5">
        <w:lastRenderedPageBreak/>
        <w:t>These liabilities represent the present value of future unfunded superannuation benefits relating to past and present employees and are based on an actuarially determined discount rate. The long</w:t>
      </w:r>
      <w:r w:rsidR="005344FD" w:rsidRPr="00415BF5">
        <w:noBreakHyphen/>
      </w:r>
      <w:r w:rsidRPr="00415BF5">
        <w:t>term nature of the unfunded superannuation liabilities requires the use of a discount rate that best matches the duration of the liabilities. The use of a long</w:t>
      </w:r>
      <w:r w:rsidR="005344FD" w:rsidRPr="00415BF5">
        <w:noBreakHyphen/>
      </w:r>
      <w:r w:rsidRPr="00415BF5">
        <w:t>term discount rate for budget purposes avoids the volatility that would occur by using current market yields on Government bonds. The value recorded on the balance sheet is highly sensitive to the discount rate used.</w:t>
      </w:r>
    </w:p>
    <w:p w14:paraId="4F0CD931" w14:textId="77777777" w:rsidR="006C4D3B" w:rsidRPr="00415BF5" w:rsidRDefault="006C4D3B" w:rsidP="006C4D3B">
      <w:r w:rsidRPr="00415BF5">
        <w:t>In preparing the latest Long Term Cost Reports for the civilian and military schemes, the scheme actuaries determined that a discount rate of 5.0 per cent should be applied.</w:t>
      </w:r>
    </w:p>
    <w:p w14:paraId="3AF51554" w14:textId="7ADE962D" w:rsidR="006C4D3B" w:rsidRPr="00415BF5" w:rsidRDefault="006C4D3B" w:rsidP="006C4D3B">
      <w:r w:rsidRPr="00415BF5">
        <w:t>The Australian Government has never fully funded its defined benefit scheme superannuation liabilities. However, the Future Fund was established in 2006 to help finance the Government</w:t>
      </w:r>
      <w:r w:rsidR="005344FD" w:rsidRPr="00415BF5">
        <w:t>’</w:t>
      </w:r>
      <w:r w:rsidRPr="00415BF5">
        <w:t>s unfunded superannuation liabilities.</w:t>
      </w:r>
    </w:p>
    <w:p w14:paraId="673FF9E6" w14:textId="77777777" w:rsidR="006C4D3B" w:rsidRPr="00415BF5" w:rsidRDefault="006C4D3B" w:rsidP="006C4D3B">
      <w:r w:rsidRPr="00415BF5">
        <w:t>For civilian employees, the major defined benefit schemes are the Commonwealth Superannuation Scheme and the Public Sector Superannuation Scheme. These schemes were closed to new members in 1990 and 2005 respectively. The Public Sector Superannuation Accumulation Plan was introduced on 1 July 2005 and provides fully funded accumulation benefits for new civilian employees from that date.</w:t>
      </w:r>
    </w:p>
    <w:p w14:paraId="1C62EA36" w14:textId="77777777" w:rsidR="006C4D3B" w:rsidRPr="00415BF5" w:rsidRDefault="006C4D3B" w:rsidP="006C4D3B">
      <w:r w:rsidRPr="00415BF5">
        <w:t>For military personnel, the defined benefit schemes are the Defence Force Retirement and Death Benefits Scheme, the Defence Forces Retirement Benefits Scheme and the Military Superannuation and Benefits Scheme (MSBS). Following the closure of the MSBS on 30 June 2016, all defined benefit military schemes are now closed to new members. A new military superannuation accumulation scheme, Australian Defence Force (ADF) Super, commenced on 1 July 2016. ADF Super is accompanied by a statutory death and disability arrangement ADF cover.</w:t>
      </w:r>
    </w:p>
    <w:p w14:paraId="19BFE48C" w14:textId="5F682E32" w:rsidR="006C4D3B" w:rsidRPr="00415BF5" w:rsidRDefault="006C4D3B" w:rsidP="006C4D3B">
      <w:r w:rsidRPr="00415BF5">
        <w:t>While there have not been any new members to the public service and military defined benefit schemes since closure in 2005 and 2016 respectively, the Government</w:t>
      </w:r>
      <w:r w:rsidR="005344FD" w:rsidRPr="00415BF5">
        <w:t>’</w:t>
      </w:r>
      <w:r w:rsidRPr="00415BF5">
        <w:t>s unfunded superannuation liabilities are expected to grow as current members continue to accrue benefits prior to retirement. Consistent with the 202</w:t>
      </w:r>
      <w:r w:rsidR="00AF11BB">
        <w:t>3</w:t>
      </w:r>
      <w:r w:rsidRPr="00415BF5">
        <w:t xml:space="preserve"> Long</w:t>
      </w:r>
      <w:r w:rsidR="00962D21">
        <w:t xml:space="preserve"> </w:t>
      </w:r>
      <w:r w:rsidRPr="00415BF5">
        <w:t>Term Cost Reports, the unfunded liability for public service defined benefit schemes is projected to peak in the mid</w:t>
      </w:r>
      <w:r w:rsidR="001F0A52">
        <w:t>-</w:t>
      </w:r>
      <w:r w:rsidRPr="00415BF5">
        <w:t>2030</w:t>
      </w:r>
      <w:r w:rsidR="005344FD" w:rsidRPr="00415BF5">
        <w:t>’</w:t>
      </w:r>
      <w:r w:rsidRPr="00415BF5">
        <w:t xml:space="preserve">s, whilst the unfunded liability for military defined benefit schemes is projected to continue to increase over time to 2060. </w:t>
      </w:r>
      <w:r w:rsidRPr="00415BF5" w:rsidDel="0091171E">
        <w:t>The present value of the superannuation liability is also sensitive to changes in the discount</w:t>
      </w:r>
      <w:r w:rsidRPr="00415BF5">
        <w:t> </w:t>
      </w:r>
      <w:r w:rsidRPr="00415BF5" w:rsidDel="0091171E">
        <w:t>rate.</w:t>
      </w:r>
    </w:p>
    <w:p w14:paraId="71AF9AE9" w14:textId="3DABF2A7" w:rsidR="006C4D3B" w:rsidRPr="00415BF5" w:rsidRDefault="006C4D3B" w:rsidP="006C4D3B">
      <w:r w:rsidRPr="00415BF5">
        <w:t>As the superannuation liabilities are included in the Government</w:t>
      </w:r>
      <w:r w:rsidR="005344FD" w:rsidRPr="00415BF5">
        <w:t>’</w:t>
      </w:r>
      <w:r w:rsidRPr="00415BF5">
        <w:t>s net worth and net financial worth aggregates, revaluations of the liabilities have an impact on these aggregates.</w:t>
      </w:r>
    </w:p>
    <w:p w14:paraId="78D6C47E" w14:textId="77777777" w:rsidR="006C4D3B" w:rsidRPr="00887569" w:rsidRDefault="006C4D3B" w:rsidP="006C4D3B">
      <w:pPr>
        <w:spacing w:before="0" w:after="160" w:line="259" w:lineRule="auto"/>
        <w:rPr>
          <w:color w:val="FF0000"/>
        </w:rPr>
      </w:pPr>
      <w:r w:rsidRPr="00887569">
        <w:rPr>
          <w:color w:val="FF0000"/>
        </w:rPr>
        <w:br w:type="page"/>
      </w:r>
    </w:p>
    <w:p w14:paraId="623D0CAF" w14:textId="3AC10F34" w:rsidR="006C4D3B" w:rsidRPr="00B36092" w:rsidRDefault="006C4D3B" w:rsidP="006C4D3B">
      <w:r w:rsidRPr="00B36092">
        <w:lastRenderedPageBreak/>
        <w:t xml:space="preserve">The value of superannuation liabilities by scheme is provided in Table </w:t>
      </w:r>
      <w:r w:rsidR="002C3672">
        <w:t>9</w:t>
      </w:r>
      <w:r w:rsidR="001F0A52">
        <w:t>.</w:t>
      </w:r>
      <w:r w:rsidRPr="00B36092">
        <w:t xml:space="preserve">B.3 below. </w:t>
      </w:r>
    </w:p>
    <w:p w14:paraId="317EA223" w14:textId="134237AD" w:rsidR="002955D0" w:rsidRDefault="006C4D3B" w:rsidP="002955D0">
      <w:pPr>
        <w:pStyle w:val="TableHeading"/>
        <w:rPr>
          <w:rFonts w:asciiTheme="minorHAnsi" w:eastAsiaTheme="minorHAnsi" w:hAnsiTheme="minorHAnsi" w:cstheme="minorBidi"/>
          <w:sz w:val="22"/>
          <w:szCs w:val="22"/>
          <w:lang w:eastAsia="en-US"/>
        </w:rPr>
      </w:pPr>
      <w:r w:rsidRPr="00B36092">
        <w:t xml:space="preserve">Table </w:t>
      </w:r>
      <w:r w:rsidR="002C3672">
        <w:t>9</w:t>
      </w:r>
      <w:r w:rsidR="00903285">
        <w:t>.</w:t>
      </w:r>
      <w:r w:rsidRPr="00B36092">
        <w:t>B.3: Superannuation liabilities by scheme</w:t>
      </w:r>
      <w:bookmarkStart w:id="16" w:name="_1803894979"/>
      <w:bookmarkEnd w:id="16"/>
    </w:p>
    <w:tbl>
      <w:tblPr>
        <w:tblW w:w="5000" w:type="pct"/>
        <w:tblCellMar>
          <w:left w:w="0" w:type="dxa"/>
          <w:right w:w="28" w:type="dxa"/>
        </w:tblCellMar>
        <w:tblLook w:val="04A0" w:firstRow="1" w:lastRow="0" w:firstColumn="1" w:lastColumn="0" w:noHBand="0" w:noVBand="1"/>
      </w:tblPr>
      <w:tblGrid>
        <w:gridCol w:w="3459"/>
        <w:gridCol w:w="845"/>
        <w:gridCol w:w="845"/>
        <w:gridCol w:w="854"/>
        <w:gridCol w:w="854"/>
        <w:gridCol w:w="853"/>
      </w:tblGrid>
      <w:tr w:rsidR="002955D0" w:rsidRPr="002955D0" w14:paraId="4F0EEBB1" w14:textId="77777777" w:rsidTr="002955D0">
        <w:trPr>
          <w:trHeight w:hRule="exact" w:val="255"/>
        </w:trPr>
        <w:tc>
          <w:tcPr>
            <w:tcW w:w="2243" w:type="pct"/>
            <w:tcBorders>
              <w:top w:val="single" w:sz="4" w:space="0" w:color="000000"/>
              <w:left w:val="nil"/>
              <w:bottom w:val="nil"/>
              <w:right w:val="nil"/>
            </w:tcBorders>
            <w:shd w:val="clear" w:color="000000" w:fill="FFFFFF"/>
            <w:vAlign w:val="center"/>
            <w:hideMark/>
          </w:tcPr>
          <w:p w14:paraId="0A006EA7" w14:textId="71FA7C47" w:rsidR="002955D0" w:rsidRPr="002955D0" w:rsidRDefault="002955D0" w:rsidP="002955D0">
            <w:pPr>
              <w:spacing w:before="0" w:after="0" w:line="240" w:lineRule="auto"/>
              <w:jc w:val="right"/>
              <w:rPr>
                <w:rFonts w:ascii="Arial" w:hAnsi="Arial" w:cs="Arial"/>
                <w:color w:val="000000"/>
                <w:sz w:val="16"/>
                <w:szCs w:val="16"/>
              </w:rPr>
            </w:pPr>
            <w:r w:rsidRPr="002955D0">
              <w:rPr>
                <w:rFonts w:ascii="Arial" w:hAnsi="Arial" w:cs="Arial"/>
                <w:color w:val="000000"/>
                <w:sz w:val="16"/>
                <w:szCs w:val="16"/>
              </w:rPr>
              <w:t> </w:t>
            </w:r>
          </w:p>
        </w:tc>
        <w:tc>
          <w:tcPr>
            <w:tcW w:w="2757" w:type="pct"/>
            <w:gridSpan w:val="5"/>
            <w:tcBorders>
              <w:top w:val="single" w:sz="4" w:space="0" w:color="000000"/>
              <w:left w:val="nil"/>
              <w:bottom w:val="single" w:sz="4" w:space="0" w:color="000000"/>
              <w:right w:val="nil"/>
            </w:tcBorders>
            <w:shd w:val="clear" w:color="000000" w:fill="FFFFFF"/>
            <w:vAlign w:val="center"/>
            <w:hideMark/>
          </w:tcPr>
          <w:p w14:paraId="4DA1B0F8" w14:textId="77777777" w:rsidR="002955D0" w:rsidRPr="002955D0" w:rsidRDefault="002955D0" w:rsidP="002955D0">
            <w:pPr>
              <w:spacing w:before="0" w:after="0" w:line="240" w:lineRule="auto"/>
              <w:jc w:val="center"/>
              <w:rPr>
                <w:rFonts w:ascii="Arial" w:hAnsi="Arial" w:cs="Arial"/>
                <w:color w:val="000000"/>
                <w:sz w:val="16"/>
                <w:szCs w:val="16"/>
              </w:rPr>
            </w:pPr>
            <w:r w:rsidRPr="002955D0">
              <w:rPr>
                <w:rFonts w:ascii="Arial" w:hAnsi="Arial" w:cs="Arial"/>
                <w:color w:val="000000"/>
                <w:sz w:val="16"/>
                <w:szCs w:val="16"/>
              </w:rPr>
              <w:t>Estimates</w:t>
            </w:r>
          </w:p>
        </w:tc>
      </w:tr>
      <w:tr w:rsidR="002955D0" w:rsidRPr="002955D0" w14:paraId="7134A378" w14:textId="77777777" w:rsidTr="002955D0">
        <w:trPr>
          <w:trHeight w:hRule="exact" w:val="255"/>
        </w:trPr>
        <w:tc>
          <w:tcPr>
            <w:tcW w:w="2243" w:type="pct"/>
            <w:tcBorders>
              <w:top w:val="nil"/>
              <w:left w:val="nil"/>
              <w:bottom w:val="nil"/>
              <w:right w:val="nil"/>
            </w:tcBorders>
            <w:shd w:val="clear" w:color="000000" w:fill="FFFFFF"/>
            <w:vAlign w:val="center"/>
            <w:hideMark/>
          </w:tcPr>
          <w:p w14:paraId="0A74B7BA" w14:textId="77777777" w:rsidR="002955D0" w:rsidRPr="002955D0" w:rsidRDefault="002955D0" w:rsidP="002955D0">
            <w:pPr>
              <w:spacing w:before="0" w:after="0" w:line="240" w:lineRule="auto"/>
              <w:rPr>
                <w:rFonts w:ascii="Arial" w:hAnsi="Arial" w:cs="Arial"/>
                <w:color w:val="000000"/>
                <w:sz w:val="16"/>
                <w:szCs w:val="16"/>
              </w:rPr>
            </w:pPr>
            <w:r w:rsidRPr="002955D0">
              <w:rPr>
                <w:rFonts w:ascii="Arial" w:hAnsi="Arial" w:cs="Arial"/>
                <w:color w:val="000000"/>
                <w:sz w:val="16"/>
                <w:szCs w:val="16"/>
              </w:rPr>
              <w:t>  </w:t>
            </w:r>
          </w:p>
        </w:tc>
        <w:tc>
          <w:tcPr>
            <w:tcW w:w="548" w:type="pct"/>
            <w:tcBorders>
              <w:top w:val="nil"/>
              <w:left w:val="nil"/>
              <w:bottom w:val="nil"/>
              <w:right w:val="nil"/>
            </w:tcBorders>
            <w:shd w:val="clear" w:color="000000" w:fill="FFFFFF"/>
            <w:vAlign w:val="center"/>
            <w:hideMark/>
          </w:tcPr>
          <w:p w14:paraId="3AB9068E" w14:textId="77777777" w:rsidR="002955D0" w:rsidRPr="002955D0" w:rsidRDefault="002955D0" w:rsidP="002955D0">
            <w:pPr>
              <w:spacing w:before="0" w:after="0" w:line="240" w:lineRule="auto"/>
              <w:jc w:val="right"/>
              <w:rPr>
                <w:rFonts w:ascii="Arial" w:hAnsi="Arial" w:cs="Arial"/>
                <w:color w:val="000000"/>
                <w:sz w:val="16"/>
                <w:szCs w:val="16"/>
              </w:rPr>
            </w:pPr>
            <w:r w:rsidRPr="002955D0">
              <w:rPr>
                <w:rFonts w:ascii="Arial" w:hAnsi="Arial" w:cs="Arial"/>
                <w:sz w:val="16"/>
                <w:szCs w:val="16"/>
              </w:rPr>
              <w:t>2024-25</w:t>
            </w:r>
          </w:p>
        </w:tc>
        <w:tc>
          <w:tcPr>
            <w:tcW w:w="548" w:type="pct"/>
            <w:tcBorders>
              <w:top w:val="nil"/>
              <w:left w:val="nil"/>
              <w:bottom w:val="nil"/>
              <w:right w:val="nil"/>
            </w:tcBorders>
            <w:shd w:val="clear" w:color="000000" w:fill="E6F2FF"/>
            <w:vAlign w:val="center"/>
            <w:hideMark/>
          </w:tcPr>
          <w:p w14:paraId="673D40F6" w14:textId="77777777" w:rsidR="002955D0" w:rsidRPr="002955D0" w:rsidRDefault="002955D0" w:rsidP="002955D0">
            <w:pPr>
              <w:spacing w:before="0" w:after="0" w:line="240" w:lineRule="auto"/>
              <w:jc w:val="right"/>
              <w:rPr>
                <w:rFonts w:ascii="Arial" w:hAnsi="Arial" w:cs="Arial"/>
                <w:color w:val="000000"/>
                <w:sz w:val="16"/>
                <w:szCs w:val="16"/>
              </w:rPr>
            </w:pPr>
            <w:r w:rsidRPr="002955D0">
              <w:rPr>
                <w:rFonts w:ascii="Arial" w:hAnsi="Arial" w:cs="Arial"/>
                <w:sz w:val="16"/>
                <w:szCs w:val="16"/>
              </w:rPr>
              <w:t>2025-26</w:t>
            </w:r>
          </w:p>
        </w:tc>
        <w:tc>
          <w:tcPr>
            <w:tcW w:w="554" w:type="pct"/>
            <w:tcBorders>
              <w:top w:val="nil"/>
              <w:left w:val="nil"/>
              <w:bottom w:val="nil"/>
              <w:right w:val="nil"/>
            </w:tcBorders>
            <w:shd w:val="clear" w:color="000000" w:fill="FFFFFF"/>
            <w:vAlign w:val="center"/>
            <w:hideMark/>
          </w:tcPr>
          <w:p w14:paraId="33F2133B" w14:textId="77777777" w:rsidR="002955D0" w:rsidRPr="002955D0" w:rsidRDefault="002955D0" w:rsidP="002955D0">
            <w:pPr>
              <w:spacing w:before="0" w:after="0" w:line="240" w:lineRule="auto"/>
              <w:jc w:val="right"/>
              <w:rPr>
                <w:rFonts w:ascii="Arial" w:hAnsi="Arial" w:cs="Arial"/>
                <w:color w:val="000000"/>
                <w:sz w:val="16"/>
                <w:szCs w:val="16"/>
              </w:rPr>
            </w:pPr>
            <w:r w:rsidRPr="002955D0">
              <w:rPr>
                <w:rFonts w:ascii="Arial" w:hAnsi="Arial" w:cs="Arial"/>
                <w:sz w:val="16"/>
                <w:szCs w:val="16"/>
              </w:rPr>
              <w:t>2026-27</w:t>
            </w:r>
          </w:p>
        </w:tc>
        <w:tc>
          <w:tcPr>
            <w:tcW w:w="554" w:type="pct"/>
            <w:tcBorders>
              <w:top w:val="nil"/>
              <w:left w:val="nil"/>
              <w:bottom w:val="nil"/>
              <w:right w:val="nil"/>
            </w:tcBorders>
            <w:shd w:val="clear" w:color="000000" w:fill="FFFFFF"/>
            <w:vAlign w:val="center"/>
            <w:hideMark/>
          </w:tcPr>
          <w:p w14:paraId="68D88D8E" w14:textId="77777777" w:rsidR="002955D0" w:rsidRPr="002955D0" w:rsidRDefault="002955D0" w:rsidP="002955D0">
            <w:pPr>
              <w:spacing w:before="0" w:after="0" w:line="240" w:lineRule="auto"/>
              <w:jc w:val="right"/>
              <w:rPr>
                <w:rFonts w:ascii="Arial" w:hAnsi="Arial" w:cs="Arial"/>
                <w:color w:val="000000"/>
                <w:sz w:val="16"/>
                <w:szCs w:val="16"/>
              </w:rPr>
            </w:pPr>
            <w:r w:rsidRPr="002955D0">
              <w:rPr>
                <w:rFonts w:ascii="Arial" w:hAnsi="Arial" w:cs="Arial"/>
                <w:sz w:val="16"/>
                <w:szCs w:val="16"/>
              </w:rPr>
              <w:t>2027-28</w:t>
            </w:r>
          </w:p>
        </w:tc>
        <w:tc>
          <w:tcPr>
            <w:tcW w:w="554" w:type="pct"/>
            <w:tcBorders>
              <w:top w:val="nil"/>
              <w:left w:val="nil"/>
              <w:bottom w:val="nil"/>
              <w:right w:val="nil"/>
            </w:tcBorders>
            <w:shd w:val="clear" w:color="000000" w:fill="FFFFFF"/>
            <w:vAlign w:val="center"/>
            <w:hideMark/>
          </w:tcPr>
          <w:p w14:paraId="56BB7998" w14:textId="77777777" w:rsidR="002955D0" w:rsidRPr="002955D0" w:rsidRDefault="002955D0" w:rsidP="002955D0">
            <w:pPr>
              <w:spacing w:before="0" w:after="0" w:line="240" w:lineRule="auto"/>
              <w:jc w:val="right"/>
              <w:rPr>
                <w:rFonts w:ascii="Arial" w:hAnsi="Arial" w:cs="Arial"/>
                <w:color w:val="000000"/>
                <w:sz w:val="16"/>
                <w:szCs w:val="16"/>
              </w:rPr>
            </w:pPr>
            <w:r w:rsidRPr="002955D0">
              <w:rPr>
                <w:rFonts w:ascii="Arial" w:hAnsi="Arial" w:cs="Arial"/>
                <w:sz w:val="16"/>
                <w:szCs w:val="16"/>
              </w:rPr>
              <w:t>2028-29</w:t>
            </w:r>
          </w:p>
        </w:tc>
      </w:tr>
      <w:tr w:rsidR="002955D0" w:rsidRPr="002955D0" w14:paraId="10710986" w14:textId="77777777" w:rsidTr="002955D0">
        <w:trPr>
          <w:trHeight w:hRule="exact" w:val="255"/>
        </w:trPr>
        <w:tc>
          <w:tcPr>
            <w:tcW w:w="2243" w:type="pct"/>
            <w:tcBorders>
              <w:top w:val="nil"/>
              <w:left w:val="nil"/>
              <w:bottom w:val="nil"/>
              <w:right w:val="nil"/>
            </w:tcBorders>
            <w:shd w:val="clear" w:color="000000" w:fill="FFFFFF"/>
            <w:vAlign w:val="center"/>
            <w:hideMark/>
          </w:tcPr>
          <w:p w14:paraId="0B7017FA" w14:textId="77777777" w:rsidR="002955D0" w:rsidRPr="002955D0" w:rsidRDefault="002955D0" w:rsidP="002955D0">
            <w:pPr>
              <w:spacing w:before="0" w:after="0" w:line="240" w:lineRule="auto"/>
              <w:rPr>
                <w:rFonts w:ascii="Arial" w:hAnsi="Arial" w:cs="Arial"/>
                <w:color w:val="000000"/>
                <w:sz w:val="16"/>
                <w:szCs w:val="16"/>
              </w:rPr>
            </w:pPr>
            <w:r w:rsidRPr="002955D0">
              <w:rPr>
                <w:rFonts w:ascii="Arial" w:hAnsi="Arial" w:cs="Arial"/>
                <w:color w:val="000000"/>
                <w:sz w:val="16"/>
                <w:szCs w:val="16"/>
              </w:rPr>
              <w:t>  </w:t>
            </w:r>
          </w:p>
        </w:tc>
        <w:tc>
          <w:tcPr>
            <w:tcW w:w="548" w:type="pct"/>
            <w:tcBorders>
              <w:top w:val="nil"/>
              <w:left w:val="nil"/>
              <w:bottom w:val="single" w:sz="4" w:space="0" w:color="000000"/>
              <w:right w:val="nil"/>
            </w:tcBorders>
            <w:shd w:val="clear" w:color="000000" w:fill="FFFFFF"/>
            <w:vAlign w:val="center"/>
            <w:hideMark/>
          </w:tcPr>
          <w:p w14:paraId="66547C27" w14:textId="77777777" w:rsidR="002955D0" w:rsidRPr="002955D0" w:rsidRDefault="002955D0" w:rsidP="002955D0">
            <w:pPr>
              <w:spacing w:before="0" w:after="0" w:line="240" w:lineRule="auto"/>
              <w:jc w:val="right"/>
              <w:rPr>
                <w:rFonts w:ascii="Arial" w:hAnsi="Arial" w:cs="Arial"/>
                <w:color w:val="000000"/>
                <w:sz w:val="16"/>
                <w:szCs w:val="16"/>
              </w:rPr>
            </w:pPr>
            <w:r w:rsidRPr="002955D0">
              <w:rPr>
                <w:rFonts w:ascii="Arial" w:hAnsi="Arial" w:cs="Arial"/>
                <w:color w:val="000000"/>
                <w:sz w:val="16"/>
                <w:szCs w:val="16"/>
              </w:rPr>
              <w:t>$m </w:t>
            </w:r>
          </w:p>
        </w:tc>
        <w:tc>
          <w:tcPr>
            <w:tcW w:w="548" w:type="pct"/>
            <w:tcBorders>
              <w:top w:val="nil"/>
              <w:left w:val="nil"/>
              <w:bottom w:val="single" w:sz="4" w:space="0" w:color="000000"/>
              <w:right w:val="nil"/>
            </w:tcBorders>
            <w:shd w:val="clear" w:color="000000" w:fill="E6F2FF"/>
            <w:vAlign w:val="center"/>
            <w:hideMark/>
          </w:tcPr>
          <w:p w14:paraId="522BD60F" w14:textId="77777777" w:rsidR="002955D0" w:rsidRPr="002955D0" w:rsidRDefault="002955D0" w:rsidP="002955D0">
            <w:pPr>
              <w:spacing w:before="0" w:after="0" w:line="240" w:lineRule="auto"/>
              <w:jc w:val="right"/>
              <w:rPr>
                <w:rFonts w:ascii="Arial" w:hAnsi="Arial" w:cs="Arial"/>
                <w:color w:val="000000"/>
                <w:sz w:val="16"/>
                <w:szCs w:val="16"/>
              </w:rPr>
            </w:pPr>
            <w:r w:rsidRPr="002955D0">
              <w:rPr>
                <w:rFonts w:ascii="Arial" w:hAnsi="Arial" w:cs="Arial"/>
                <w:color w:val="000000"/>
                <w:sz w:val="16"/>
                <w:szCs w:val="16"/>
              </w:rPr>
              <w:t>$m </w:t>
            </w:r>
          </w:p>
        </w:tc>
        <w:tc>
          <w:tcPr>
            <w:tcW w:w="554" w:type="pct"/>
            <w:tcBorders>
              <w:top w:val="nil"/>
              <w:left w:val="nil"/>
              <w:bottom w:val="single" w:sz="4" w:space="0" w:color="000000"/>
              <w:right w:val="nil"/>
            </w:tcBorders>
            <w:shd w:val="clear" w:color="000000" w:fill="FFFFFF"/>
            <w:noWrap/>
            <w:vAlign w:val="bottom"/>
            <w:hideMark/>
          </w:tcPr>
          <w:p w14:paraId="76BFDAE2"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$m </w:t>
            </w:r>
          </w:p>
        </w:tc>
        <w:tc>
          <w:tcPr>
            <w:tcW w:w="554" w:type="pct"/>
            <w:tcBorders>
              <w:top w:val="nil"/>
              <w:left w:val="nil"/>
              <w:bottom w:val="single" w:sz="4" w:space="0" w:color="000000"/>
              <w:right w:val="nil"/>
            </w:tcBorders>
            <w:shd w:val="clear" w:color="000000" w:fill="FFFFFF"/>
            <w:noWrap/>
            <w:vAlign w:val="bottom"/>
            <w:hideMark/>
          </w:tcPr>
          <w:p w14:paraId="393CFD59"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$m </w:t>
            </w:r>
          </w:p>
        </w:tc>
        <w:tc>
          <w:tcPr>
            <w:tcW w:w="554" w:type="pct"/>
            <w:tcBorders>
              <w:top w:val="nil"/>
              <w:left w:val="nil"/>
              <w:bottom w:val="single" w:sz="4" w:space="0" w:color="000000"/>
              <w:right w:val="nil"/>
            </w:tcBorders>
            <w:shd w:val="clear" w:color="000000" w:fill="FFFFFF"/>
            <w:noWrap/>
            <w:vAlign w:val="bottom"/>
            <w:hideMark/>
          </w:tcPr>
          <w:p w14:paraId="73D012E0"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$m </w:t>
            </w:r>
          </w:p>
        </w:tc>
      </w:tr>
      <w:tr w:rsidR="002955D0" w:rsidRPr="002955D0" w14:paraId="6524B242" w14:textId="77777777" w:rsidTr="002955D0">
        <w:trPr>
          <w:trHeight w:hRule="exact" w:val="270"/>
        </w:trPr>
        <w:tc>
          <w:tcPr>
            <w:tcW w:w="2243" w:type="pct"/>
            <w:tcBorders>
              <w:top w:val="nil"/>
              <w:left w:val="nil"/>
              <w:bottom w:val="nil"/>
              <w:right w:val="nil"/>
            </w:tcBorders>
            <w:shd w:val="clear" w:color="000000" w:fill="FFFFFF"/>
            <w:vAlign w:val="center"/>
            <w:hideMark/>
          </w:tcPr>
          <w:p w14:paraId="5B870DC1" w14:textId="77777777" w:rsidR="002955D0" w:rsidRPr="002955D0" w:rsidRDefault="002955D0" w:rsidP="002955D0">
            <w:pPr>
              <w:spacing w:before="0" w:after="0" w:line="240" w:lineRule="auto"/>
              <w:rPr>
                <w:rFonts w:ascii="Arial" w:hAnsi="Arial" w:cs="Arial"/>
                <w:i/>
                <w:iCs/>
                <w:color w:val="000000"/>
                <w:sz w:val="16"/>
                <w:szCs w:val="16"/>
              </w:rPr>
            </w:pPr>
            <w:r w:rsidRPr="002955D0">
              <w:rPr>
                <w:rFonts w:ascii="Arial" w:hAnsi="Arial" w:cs="Arial"/>
                <w:i/>
                <w:iCs/>
                <w:color w:val="000000"/>
                <w:sz w:val="16"/>
                <w:szCs w:val="16"/>
              </w:rPr>
              <w:t>Civilian superannuation schemes </w:t>
            </w:r>
          </w:p>
        </w:tc>
        <w:tc>
          <w:tcPr>
            <w:tcW w:w="548" w:type="pct"/>
            <w:tcBorders>
              <w:top w:val="nil"/>
              <w:left w:val="nil"/>
              <w:bottom w:val="nil"/>
              <w:right w:val="nil"/>
            </w:tcBorders>
            <w:shd w:val="clear" w:color="000000" w:fill="FFFFFF"/>
            <w:vAlign w:val="center"/>
            <w:hideMark/>
          </w:tcPr>
          <w:p w14:paraId="6727882B" w14:textId="77777777" w:rsidR="002955D0" w:rsidRPr="002955D0" w:rsidRDefault="002955D0" w:rsidP="002955D0">
            <w:pPr>
              <w:spacing w:before="0" w:after="0" w:line="240" w:lineRule="auto"/>
              <w:jc w:val="right"/>
              <w:rPr>
                <w:rFonts w:cs="Arial"/>
                <w:sz w:val="18"/>
                <w:szCs w:val="18"/>
              </w:rPr>
            </w:pPr>
            <w:r w:rsidRPr="002955D0">
              <w:rPr>
                <w:rFonts w:cs="Arial"/>
                <w:sz w:val="18"/>
                <w:szCs w:val="18"/>
              </w:rPr>
              <w:t> </w:t>
            </w:r>
          </w:p>
        </w:tc>
        <w:tc>
          <w:tcPr>
            <w:tcW w:w="548" w:type="pct"/>
            <w:tcBorders>
              <w:top w:val="nil"/>
              <w:left w:val="nil"/>
              <w:bottom w:val="nil"/>
              <w:right w:val="nil"/>
            </w:tcBorders>
            <w:shd w:val="clear" w:color="000000" w:fill="E6F2FF"/>
            <w:vAlign w:val="center"/>
            <w:hideMark/>
          </w:tcPr>
          <w:p w14:paraId="729FB867" w14:textId="77777777" w:rsidR="002955D0" w:rsidRPr="002955D0" w:rsidRDefault="002955D0" w:rsidP="002955D0">
            <w:pPr>
              <w:spacing w:before="0" w:after="0" w:line="240" w:lineRule="auto"/>
              <w:jc w:val="right"/>
              <w:rPr>
                <w:rFonts w:cs="Arial"/>
                <w:sz w:val="18"/>
                <w:szCs w:val="18"/>
              </w:rPr>
            </w:pPr>
            <w:r w:rsidRPr="002955D0">
              <w:rPr>
                <w:rFonts w:cs="Arial"/>
                <w:sz w:val="18"/>
                <w:szCs w:val="18"/>
              </w:rPr>
              <w:t> </w:t>
            </w:r>
          </w:p>
        </w:tc>
        <w:tc>
          <w:tcPr>
            <w:tcW w:w="554" w:type="pct"/>
            <w:tcBorders>
              <w:top w:val="nil"/>
              <w:left w:val="nil"/>
              <w:bottom w:val="nil"/>
              <w:right w:val="nil"/>
            </w:tcBorders>
            <w:shd w:val="clear" w:color="000000" w:fill="FFFFFF"/>
            <w:vAlign w:val="center"/>
            <w:hideMark/>
          </w:tcPr>
          <w:p w14:paraId="74723F00" w14:textId="77777777" w:rsidR="002955D0" w:rsidRPr="002955D0" w:rsidRDefault="002955D0" w:rsidP="002955D0">
            <w:pPr>
              <w:spacing w:before="0" w:after="0" w:line="240" w:lineRule="auto"/>
              <w:jc w:val="right"/>
              <w:rPr>
                <w:rFonts w:cs="Arial"/>
                <w:sz w:val="18"/>
                <w:szCs w:val="18"/>
              </w:rPr>
            </w:pPr>
            <w:r w:rsidRPr="002955D0">
              <w:rPr>
                <w:rFonts w:cs="Arial"/>
                <w:sz w:val="18"/>
                <w:szCs w:val="18"/>
              </w:rPr>
              <w:t> </w:t>
            </w:r>
          </w:p>
        </w:tc>
        <w:tc>
          <w:tcPr>
            <w:tcW w:w="554" w:type="pct"/>
            <w:tcBorders>
              <w:top w:val="nil"/>
              <w:left w:val="nil"/>
              <w:bottom w:val="nil"/>
              <w:right w:val="nil"/>
            </w:tcBorders>
            <w:shd w:val="clear" w:color="000000" w:fill="FFFFFF"/>
            <w:vAlign w:val="center"/>
            <w:hideMark/>
          </w:tcPr>
          <w:p w14:paraId="5DE7DF4E" w14:textId="77777777" w:rsidR="002955D0" w:rsidRPr="002955D0" w:rsidRDefault="002955D0" w:rsidP="002955D0">
            <w:pPr>
              <w:spacing w:before="0" w:after="0" w:line="240" w:lineRule="auto"/>
              <w:jc w:val="right"/>
              <w:rPr>
                <w:rFonts w:cs="Arial"/>
                <w:sz w:val="18"/>
                <w:szCs w:val="18"/>
              </w:rPr>
            </w:pPr>
            <w:r w:rsidRPr="002955D0">
              <w:rPr>
                <w:rFonts w:cs="Arial"/>
                <w:sz w:val="18"/>
                <w:szCs w:val="18"/>
              </w:rPr>
              <w:t> </w:t>
            </w:r>
          </w:p>
        </w:tc>
        <w:tc>
          <w:tcPr>
            <w:tcW w:w="554" w:type="pct"/>
            <w:tcBorders>
              <w:top w:val="nil"/>
              <w:left w:val="nil"/>
              <w:bottom w:val="nil"/>
              <w:right w:val="nil"/>
            </w:tcBorders>
            <w:shd w:val="clear" w:color="000000" w:fill="FFFFFF"/>
            <w:vAlign w:val="center"/>
            <w:hideMark/>
          </w:tcPr>
          <w:p w14:paraId="236E9A5D" w14:textId="77777777" w:rsidR="002955D0" w:rsidRPr="002955D0" w:rsidRDefault="002955D0" w:rsidP="002955D0">
            <w:pPr>
              <w:spacing w:before="0" w:after="0" w:line="240" w:lineRule="auto"/>
              <w:jc w:val="right"/>
              <w:rPr>
                <w:rFonts w:cs="Arial"/>
                <w:sz w:val="18"/>
                <w:szCs w:val="18"/>
              </w:rPr>
            </w:pPr>
            <w:r w:rsidRPr="002955D0">
              <w:rPr>
                <w:rFonts w:cs="Arial"/>
                <w:sz w:val="18"/>
                <w:szCs w:val="18"/>
              </w:rPr>
              <w:t> </w:t>
            </w:r>
          </w:p>
        </w:tc>
      </w:tr>
      <w:tr w:rsidR="002955D0" w:rsidRPr="002955D0" w14:paraId="45329925" w14:textId="77777777" w:rsidTr="002955D0">
        <w:trPr>
          <w:trHeight w:hRule="exact" w:val="255"/>
        </w:trPr>
        <w:tc>
          <w:tcPr>
            <w:tcW w:w="2243" w:type="pct"/>
            <w:tcBorders>
              <w:top w:val="nil"/>
              <w:left w:val="nil"/>
              <w:bottom w:val="nil"/>
              <w:right w:val="nil"/>
            </w:tcBorders>
            <w:shd w:val="clear" w:color="000000" w:fill="FFFFFF"/>
            <w:vAlign w:val="bottom"/>
            <w:hideMark/>
          </w:tcPr>
          <w:p w14:paraId="4BD76AF6" w14:textId="77777777" w:rsidR="002955D0" w:rsidRPr="002955D0" w:rsidRDefault="002955D0" w:rsidP="002955D0">
            <w:pPr>
              <w:spacing w:before="0" w:after="0" w:line="240" w:lineRule="auto"/>
              <w:rPr>
                <w:rFonts w:ascii="Arial" w:hAnsi="Arial" w:cs="Arial"/>
                <w:color w:val="000000"/>
                <w:sz w:val="16"/>
                <w:szCs w:val="16"/>
              </w:rPr>
            </w:pPr>
            <w:r w:rsidRPr="002955D0">
              <w:rPr>
                <w:rFonts w:ascii="Arial" w:hAnsi="Arial" w:cs="Arial"/>
                <w:color w:val="000000"/>
                <w:sz w:val="16"/>
                <w:szCs w:val="16"/>
              </w:rPr>
              <w:t>Commonwealth Superannuation Scheme</w:t>
            </w:r>
          </w:p>
        </w:tc>
        <w:tc>
          <w:tcPr>
            <w:tcW w:w="548" w:type="pct"/>
            <w:tcBorders>
              <w:top w:val="nil"/>
              <w:left w:val="nil"/>
              <w:bottom w:val="nil"/>
              <w:right w:val="nil"/>
            </w:tcBorders>
            <w:shd w:val="clear" w:color="000000" w:fill="FFFFFF"/>
            <w:vAlign w:val="bottom"/>
            <w:hideMark/>
          </w:tcPr>
          <w:p w14:paraId="222F492B"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61,609</w:t>
            </w:r>
          </w:p>
        </w:tc>
        <w:tc>
          <w:tcPr>
            <w:tcW w:w="548" w:type="pct"/>
            <w:tcBorders>
              <w:top w:val="nil"/>
              <w:left w:val="nil"/>
              <w:bottom w:val="nil"/>
              <w:right w:val="nil"/>
            </w:tcBorders>
            <w:shd w:val="clear" w:color="000000" w:fill="E6F2FF"/>
            <w:vAlign w:val="bottom"/>
            <w:hideMark/>
          </w:tcPr>
          <w:p w14:paraId="0B16BC62"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59,987</w:t>
            </w:r>
          </w:p>
        </w:tc>
        <w:tc>
          <w:tcPr>
            <w:tcW w:w="554" w:type="pct"/>
            <w:tcBorders>
              <w:top w:val="nil"/>
              <w:left w:val="nil"/>
              <w:bottom w:val="nil"/>
              <w:right w:val="nil"/>
            </w:tcBorders>
            <w:shd w:val="clear" w:color="000000" w:fill="FFFFFF"/>
            <w:vAlign w:val="bottom"/>
            <w:hideMark/>
          </w:tcPr>
          <w:p w14:paraId="0245B334"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58,272</w:t>
            </w:r>
          </w:p>
        </w:tc>
        <w:tc>
          <w:tcPr>
            <w:tcW w:w="554" w:type="pct"/>
            <w:tcBorders>
              <w:top w:val="nil"/>
              <w:left w:val="nil"/>
              <w:bottom w:val="nil"/>
              <w:right w:val="nil"/>
            </w:tcBorders>
            <w:shd w:val="clear" w:color="000000" w:fill="FFFFFF"/>
            <w:vAlign w:val="bottom"/>
            <w:hideMark/>
          </w:tcPr>
          <w:p w14:paraId="46F87CD3"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56,470</w:t>
            </w:r>
          </w:p>
        </w:tc>
        <w:tc>
          <w:tcPr>
            <w:tcW w:w="554" w:type="pct"/>
            <w:tcBorders>
              <w:top w:val="nil"/>
              <w:left w:val="nil"/>
              <w:bottom w:val="nil"/>
              <w:right w:val="nil"/>
            </w:tcBorders>
            <w:shd w:val="clear" w:color="000000" w:fill="FFFFFF"/>
            <w:vAlign w:val="bottom"/>
            <w:hideMark/>
          </w:tcPr>
          <w:p w14:paraId="45D98791"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54,587</w:t>
            </w:r>
          </w:p>
        </w:tc>
      </w:tr>
      <w:tr w:rsidR="002955D0" w:rsidRPr="002955D0" w14:paraId="201C94C6" w14:textId="77777777" w:rsidTr="002955D0">
        <w:trPr>
          <w:trHeight w:hRule="exact" w:val="255"/>
        </w:trPr>
        <w:tc>
          <w:tcPr>
            <w:tcW w:w="2243" w:type="pct"/>
            <w:tcBorders>
              <w:top w:val="nil"/>
              <w:left w:val="nil"/>
              <w:bottom w:val="nil"/>
              <w:right w:val="nil"/>
            </w:tcBorders>
            <w:shd w:val="clear" w:color="000000" w:fill="FFFFFF"/>
            <w:vAlign w:val="bottom"/>
            <w:hideMark/>
          </w:tcPr>
          <w:p w14:paraId="412A079E" w14:textId="77777777" w:rsidR="002955D0" w:rsidRPr="002955D0" w:rsidRDefault="002955D0" w:rsidP="002955D0">
            <w:pPr>
              <w:spacing w:before="0" w:after="0" w:line="240" w:lineRule="auto"/>
              <w:rPr>
                <w:rFonts w:ascii="Arial" w:hAnsi="Arial" w:cs="Arial"/>
                <w:color w:val="000000"/>
                <w:sz w:val="16"/>
                <w:szCs w:val="16"/>
              </w:rPr>
            </w:pPr>
            <w:r w:rsidRPr="002955D0">
              <w:rPr>
                <w:rFonts w:ascii="Arial" w:hAnsi="Arial" w:cs="Arial"/>
                <w:color w:val="000000"/>
                <w:sz w:val="16"/>
                <w:szCs w:val="16"/>
              </w:rPr>
              <w:t>Public Sector Superannuation Scheme</w:t>
            </w:r>
          </w:p>
        </w:tc>
        <w:tc>
          <w:tcPr>
            <w:tcW w:w="548" w:type="pct"/>
            <w:tcBorders>
              <w:top w:val="nil"/>
              <w:left w:val="nil"/>
              <w:bottom w:val="nil"/>
              <w:right w:val="nil"/>
            </w:tcBorders>
            <w:shd w:val="clear" w:color="000000" w:fill="FFFFFF"/>
            <w:vAlign w:val="bottom"/>
            <w:hideMark/>
          </w:tcPr>
          <w:p w14:paraId="047316D0"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102,431</w:t>
            </w:r>
          </w:p>
        </w:tc>
        <w:tc>
          <w:tcPr>
            <w:tcW w:w="548" w:type="pct"/>
            <w:tcBorders>
              <w:top w:val="nil"/>
              <w:left w:val="nil"/>
              <w:bottom w:val="nil"/>
              <w:right w:val="nil"/>
            </w:tcBorders>
            <w:shd w:val="clear" w:color="000000" w:fill="E6F2FF"/>
            <w:vAlign w:val="bottom"/>
            <w:hideMark/>
          </w:tcPr>
          <w:p w14:paraId="4E3ED7F1"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108,909</w:t>
            </w:r>
          </w:p>
        </w:tc>
        <w:tc>
          <w:tcPr>
            <w:tcW w:w="554" w:type="pct"/>
            <w:tcBorders>
              <w:top w:val="nil"/>
              <w:left w:val="nil"/>
              <w:bottom w:val="nil"/>
              <w:right w:val="nil"/>
            </w:tcBorders>
            <w:shd w:val="clear" w:color="000000" w:fill="FFFFFF"/>
            <w:vAlign w:val="bottom"/>
            <w:hideMark/>
          </w:tcPr>
          <w:p w14:paraId="5BEF2319"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113,834</w:t>
            </w:r>
          </w:p>
        </w:tc>
        <w:tc>
          <w:tcPr>
            <w:tcW w:w="554" w:type="pct"/>
            <w:tcBorders>
              <w:top w:val="nil"/>
              <w:left w:val="nil"/>
              <w:bottom w:val="nil"/>
              <w:right w:val="nil"/>
            </w:tcBorders>
            <w:shd w:val="clear" w:color="000000" w:fill="FFFFFF"/>
            <w:vAlign w:val="bottom"/>
            <w:hideMark/>
          </w:tcPr>
          <w:p w14:paraId="00225B2A"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118,766</w:t>
            </w:r>
          </w:p>
        </w:tc>
        <w:tc>
          <w:tcPr>
            <w:tcW w:w="554" w:type="pct"/>
            <w:tcBorders>
              <w:top w:val="nil"/>
              <w:left w:val="nil"/>
              <w:bottom w:val="nil"/>
              <w:right w:val="nil"/>
            </w:tcBorders>
            <w:shd w:val="clear" w:color="000000" w:fill="FFFFFF"/>
            <w:vAlign w:val="bottom"/>
            <w:hideMark/>
          </w:tcPr>
          <w:p w14:paraId="41100F02"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122,657</w:t>
            </w:r>
          </w:p>
        </w:tc>
      </w:tr>
      <w:tr w:rsidR="002955D0" w:rsidRPr="002955D0" w14:paraId="1B426450" w14:textId="77777777" w:rsidTr="002955D0">
        <w:trPr>
          <w:trHeight w:hRule="exact" w:val="255"/>
        </w:trPr>
        <w:tc>
          <w:tcPr>
            <w:tcW w:w="2243" w:type="pct"/>
            <w:tcBorders>
              <w:top w:val="nil"/>
              <w:left w:val="nil"/>
              <w:bottom w:val="nil"/>
              <w:right w:val="nil"/>
            </w:tcBorders>
            <w:shd w:val="clear" w:color="000000" w:fill="FFFFFF"/>
            <w:vAlign w:val="bottom"/>
            <w:hideMark/>
          </w:tcPr>
          <w:p w14:paraId="03843804" w14:textId="77777777" w:rsidR="002955D0" w:rsidRPr="002955D0" w:rsidRDefault="002955D0" w:rsidP="002955D0">
            <w:pPr>
              <w:spacing w:before="0" w:after="0" w:line="240" w:lineRule="auto"/>
              <w:rPr>
                <w:rFonts w:ascii="Arial" w:hAnsi="Arial" w:cs="Arial"/>
                <w:color w:val="000000"/>
                <w:sz w:val="16"/>
                <w:szCs w:val="16"/>
              </w:rPr>
            </w:pPr>
            <w:r w:rsidRPr="002955D0">
              <w:rPr>
                <w:rFonts w:ascii="Arial" w:hAnsi="Arial" w:cs="Arial"/>
                <w:color w:val="000000"/>
                <w:sz w:val="16"/>
                <w:szCs w:val="16"/>
              </w:rPr>
              <w:t>Parliamentary Contributory Superannuation</w:t>
            </w:r>
          </w:p>
        </w:tc>
        <w:tc>
          <w:tcPr>
            <w:tcW w:w="548" w:type="pct"/>
            <w:tcBorders>
              <w:top w:val="nil"/>
              <w:left w:val="nil"/>
              <w:bottom w:val="nil"/>
              <w:right w:val="nil"/>
            </w:tcBorders>
            <w:shd w:val="clear" w:color="000000" w:fill="FFFFFF"/>
            <w:vAlign w:val="bottom"/>
            <w:hideMark/>
          </w:tcPr>
          <w:p w14:paraId="02659AE4"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 </w:t>
            </w:r>
          </w:p>
        </w:tc>
        <w:tc>
          <w:tcPr>
            <w:tcW w:w="548" w:type="pct"/>
            <w:tcBorders>
              <w:top w:val="nil"/>
              <w:left w:val="nil"/>
              <w:bottom w:val="nil"/>
              <w:right w:val="nil"/>
            </w:tcBorders>
            <w:shd w:val="clear" w:color="000000" w:fill="E6F2FF"/>
            <w:vAlign w:val="bottom"/>
            <w:hideMark/>
          </w:tcPr>
          <w:p w14:paraId="0EF3E177"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 </w:t>
            </w:r>
          </w:p>
        </w:tc>
        <w:tc>
          <w:tcPr>
            <w:tcW w:w="554" w:type="pct"/>
            <w:tcBorders>
              <w:top w:val="nil"/>
              <w:left w:val="nil"/>
              <w:bottom w:val="nil"/>
              <w:right w:val="nil"/>
            </w:tcBorders>
            <w:shd w:val="clear" w:color="000000" w:fill="FFFFFF"/>
            <w:vAlign w:val="bottom"/>
            <w:hideMark/>
          </w:tcPr>
          <w:p w14:paraId="3D1D5465"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 </w:t>
            </w:r>
          </w:p>
        </w:tc>
        <w:tc>
          <w:tcPr>
            <w:tcW w:w="554" w:type="pct"/>
            <w:tcBorders>
              <w:top w:val="nil"/>
              <w:left w:val="nil"/>
              <w:bottom w:val="nil"/>
              <w:right w:val="nil"/>
            </w:tcBorders>
            <w:shd w:val="clear" w:color="000000" w:fill="FFFFFF"/>
            <w:vAlign w:val="bottom"/>
            <w:hideMark/>
          </w:tcPr>
          <w:p w14:paraId="293B8015"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 </w:t>
            </w:r>
          </w:p>
        </w:tc>
        <w:tc>
          <w:tcPr>
            <w:tcW w:w="554" w:type="pct"/>
            <w:tcBorders>
              <w:top w:val="nil"/>
              <w:left w:val="nil"/>
              <w:bottom w:val="nil"/>
              <w:right w:val="nil"/>
            </w:tcBorders>
            <w:shd w:val="clear" w:color="000000" w:fill="FFFFFF"/>
            <w:vAlign w:val="bottom"/>
            <w:hideMark/>
          </w:tcPr>
          <w:p w14:paraId="6AAD73DA"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 </w:t>
            </w:r>
          </w:p>
        </w:tc>
      </w:tr>
      <w:tr w:rsidR="002955D0" w:rsidRPr="002955D0" w14:paraId="6F74761E" w14:textId="77777777" w:rsidTr="002955D0">
        <w:trPr>
          <w:trHeight w:hRule="exact" w:val="255"/>
        </w:trPr>
        <w:tc>
          <w:tcPr>
            <w:tcW w:w="2243" w:type="pct"/>
            <w:tcBorders>
              <w:top w:val="nil"/>
              <w:left w:val="nil"/>
              <w:bottom w:val="nil"/>
              <w:right w:val="nil"/>
            </w:tcBorders>
            <w:shd w:val="clear" w:color="000000" w:fill="FFFFFF"/>
            <w:vAlign w:val="bottom"/>
            <w:hideMark/>
          </w:tcPr>
          <w:p w14:paraId="5D0F1D0A" w14:textId="77777777" w:rsidR="002955D0" w:rsidRPr="002955D0" w:rsidRDefault="002955D0" w:rsidP="002955D0">
            <w:pPr>
              <w:spacing w:before="0" w:after="0" w:line="240" w:lineRule="auto"/>
              <w:rPr>
                <w:rFonts w:ascii="Arial" w:hAnsi="Arial" w:cs="Arial"/>
                <w:color w:val="000000"/>
                <w:sz w:val="16"/>
                <w:szCs w:val="16"/>
              </w:rPr>
            </w:pPr>
            <w:r w:rsidRPr="002955D0">
              <w:rPr>
                <w:rFonts w:ascii="Arial" w:hAnsi="Arial" w:cs="Arial"/>
                <w:color w:val="000000"/>
                <w:sz w:val="16"/>
                <w:szCs w:val="16"/>
              </w:rPr>
              <w:t xml:space="preserve">   Scheme</w:t>
            </w:r>
          </w:p>
        </w:tc>
        <w:tc>
          <w:tcPr>
            <w:tcW w:w="548" w:type="pct"/>
            <w:tcBorders>
              <w:top w:val="nil"/>
              <w:left w:val="nil"/>
              <w:bottom w:val="nil"/>
              <w:right w:val="nil"/>
            </w:tcBorders>
            <w:shd w:val="clear" w:color="000000" w:fill="FFFFFF"/>
            <w:vAlign w:val="bottom"/>
            <w:hideMark/>
          </w:tcPr>
          <w:p w14:paraId="27D9E984"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809</w:t>
            </w:r>
          </w:p>
        </w:tc>
        <w:tc>
          <w:tcPr>
            <w:tcW w:w="548" w:type="pct"/>
            <w:tcBorders>
              <w:top w:val="nil"/>
              <w:left w:val="nil"/>
              <w:bottom w:val="nil"/>
              <w:right w:val="nil"/>
            </w:tcBorders>
            <w:shd w:val="clear" w:color="000000" w:fill="E6F2FF"/>
            <w:vAlign w:val="bottom"/>
            <w:hideMark/>
          </w:tcPr>
          <w:p w14:paraId="6DE04178"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799 </w:t>
            </w:r>
          </w:p>
        </w:tc>
        <w:tc>
          <w:tcPr>
            <w:tcW w:w="554" w:type="pct"/>
            <w:tcBorders>
              <w:top w:val="nil"/>
              <w:left w:val="nil"/>
              <w:bottom w:val="nil"/>
              <w:right w:val="nil"/>
            </w:tcBorders>
            <w:shd w:val="clear" w:color="000000" w:fill="FFFFFF"/>
            <w:vAlign w:val="bottom"/>
            <w:hideMark/>
          </w:tcPr>
          <w:p w14:paraId="4F3C9499"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788 </w:t>
            </w:r>
          </w:p>
        </w:tc>
        <w:tc>
          <w:tcPr>
            <w:tcW w:w="554" w:type="pct"/>
            <w:tcBorders>
              <w:top w:val="nil"/>
              <w:left w:val="nil"/>
              <w:bottom w:val="nil"/>
              <w:right w:val="nil"/>
            </w:tcBorders>
            <w:shd w:val="clear" w:color="000000" w:fill="FFFFFF"/>
            <w:vAlign w:val="bottom"/>
            <w:hideMark/>
          </w:tcPr>
          <w:p w14:paraId="621DA319"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775 </w:t>
            </w:r>
          </w:p>
        </w:tc>
        <w:tc>
          <w:tcPr>
            <w:tcW w:w="554" w:type="pct"/>
            <w:tcBorders>
              <w:top w:val="nil"/>
              <w:left w:val="nil"/>
              <w:bottom w:val="nil"/>
              <w:right w:val="nil"/>
            </w:tcBorders>
            <w:shd w:val="clear" w:color="000000" w:fill="FFFFFF"/>
            <w:vAlign w:val="bottom"/>
            <w:hideMark/>
          </w:tcPr>
          <w:p w14:paraId="2606D70B"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761 </w:t>
            </w:r>
          </w:p>
        </w:tc>
      </w:tr>
      <w:tr w:rsidR="002955D0" w:rsidRPr="002955D0" w14:paraId="6D8E5887" w14:textId="77777777" w:rsidTr="002955D0">
        <w:trPr>
          <w:trHeight w:hRule="exact" w:val="230"/>
        </w:trPr>
        <w:tc>
          <w:tcPr>
            <w:tcW w:w="2243" w:type="pct"/>
            <w:tcBorders>
              <w:top w:val="nil"/>
              <w:left w:val="nil"/>
              <w:bottom w:val="nil"/>
              <w:right w:val="nil"/>
            </w:tcBorders>
            <w:shd w:val="clear" w:color="000000" w:fill="FFFFFF"/>
            <w:vAlign w:val="bottom"/>
            <w:hideMark/>
          </w:tcPr>
          <w:p w14:paraId="61E454C8" w14:textId="77777777" w:rsidR="002955D0" w:rsidRPr="002955D0" w:rsidRDefault="002955D0" w:rsidP="002955D0">
            <w:pPr>
              <w:spacing w:before="0" w:after="0" w:line="240" w:lineRule="auto"/>
              <w:rPr>
                <w:rFonts w:ascii="Arial" w:hAnsi="Arial" w:cs="Arial"/>
                <w:color w:val="000000"/>
                <w:sz w:val="16"/>
                <w:szCs w:val="16"/>
              </w:rPr>
            </w:pPr>
            <w:r w:rsidRPr="002955D0">
              <w:rPr>
                <w:rFonts w:ascii="Arial" w:hAnsi="Arial" w:cs="Arial"/>
                <w:color w:val="000000"/>
                <w:sz w:val="16"/>
                <w:szCs w:val="16"/>
              </w:rPr>
              <w:t>Governors-General Scheme   </w:t>
            </w:r>
          </w:p>
        </w:tc>
        <w:tc>
          <w:tcPr>
            <w:tcW w:w="548" w:type="pct"/>
            <w:tcBorders>
              <w:top w:val="nil"/>
              <w:left w:val="nil"/>
              <w:bottom w:val="nil"/>
              <w:right w:val="nil"/>
            </w:tcBorders>
            <w:shd w:val="clear" w:color="000000" w:fill="FFFFFF"/>
            <w:vAlign w:val="bottom"/>
            <w:hideMark/>
          </w:tcPr>
          <w:p w14:paraId="0F956E7A"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21</w:t>
            </w:r>
          </w:p>
        </w:tc>
        <w:tc>
          <w:tcPr>
            <w:tcW w:w="548" w:type="pct"/>
            <w:tcBorders>
              <w:top w:val="nil"/>
              <w:left w:val="nil"/>
              <w:bottom w:val="nil"/>
              <w:right w:val="nil"/>
            </w:tcBorders>
            <w:shd w:val="clear" w:color="000000" w:fill="E6F2FF"/>
            <w:vAlign w:val="bottom"/>
            <w:hideMark/>
          </w:tcPr>
          <w:p w14:paraId="72BBEE6C"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21</w:t>
            </w:r>
          </w:p>
        </w:tc>
        <w:tc>
          <w:tcPr>
            <w:tcW w:w="554" w:type="pct"/>
            <w:tcBorders>
              <w:top w:val="nil"/>
              <w:left w:val="nil"/>
              <w:bottom w:val="nil"/>
              <w:right w:val="nil"/>
            </w:tcBorders>
            <w:shd w:val="clear" w:color="000000" w:fill="FFFFFF"/>
            <w:vAlign w:val="bottom"/>
            <w:hideMark/>
          </w:tcPr>
          <w:p w14:paraId="2EB6969A"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21</w:t>
            </w:r>
          </w:p>
        </w:tc>
        <w:tc>
          <w:tcPr>
            <w:tcW w:w="554" w:type="pct"/>
            <w:tcBorders>
              <w:top w:val="nil"/>
              <w:left w:val="nil"/>
              <w:bottom w:val="nil"/>
              <w:right w:val="nil"/>
            </w:tcBorders>
            <w:shd w:val="clear" w:color="000000" w:fill="FFFFFF"/>
            <w:vAlign w:val="bottom"/>
            <w:hideMark/>
          </w:tcPr>
          <w:p w14:paraId="2DBC650B"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21</w:t>
            </w:r>
          </w:p>
        </w:tc>
        <w:tc>
          <w:tcPr>
            <w:tcW w:w="554" w:type="pct"/>
            <w:tcBorders>
              <w:top w:val="nil"/>
              <w:left w:val="nil"/>
              <w:bottom w:val="nil"/>
              <w:right w:val="nil"/>
            </w:tcBorders>
            <w:shd w:val="clear" w:color="000000" w:fill="FFFFFF"/>
            <w:vAlign w:val="bottom"/>
            <w:hideMark/>
          </w:tcPr>
          <w:p w14:paraId="2F7D1B55"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21</w:t>
            </w:r>
          </w:p>
        </w:tc>
      </w:tr>
      <w:tr w:rsidR="002955D0" w:rsidRPr="002955D0" w14:paraId="00513AB0" w14:textId="77777777" w:rsidTr="002955D0">
        <w:trPr>
          <w:trHeight w:hRule="exact" w:val="230"/>
        </w:trPr>
        <w:tc>
          <w:tcPr>
            <w:tcW w:w="2243" w:type="pct"/>
            <w:tcBorders>
              <w:top w:val="nil"/>
              <w:left w:val="nil"/>
              <w:bottom w:val="nil"/>
              <w:right w:val="nil"/>
            </w:tcBorders>
            <w:shd w:val="clear" w:color="000000" w:fill="FFFFFF"/>
            <w:vAlign w:val="bottom"/>
            <w:hideMark/>
          </w:tcPr>
          <w:p w14:paraId="08E72C48" w14:textId="77777777" w:rsidR="002955D0" w:rsidRPr="002955D0" w:rsidRDefault="002955D0" w:rsidP="002955D0">
            <w:pPr>
              <w:spacing w:before="0" w:after="0" w:line="240" w:lineRule="auto"/>
              <w:rPr>
                <w:rFonts w:ascii="Arial" w:hAnsi="Arial" w:cs="Arial"/>
                <w:color w:val="000000"/>
                <w:sz w:val="16"/>
                <w:szCs w:val="16"/>
              </w:rPr>
            </w:pPr>
            <w:r w:rsidRPr="002955D0">
              <w:rPr>
                <w:rFonts w:ascii="Arial" w:hAnsi="Arial" w:cs="Arial"/>
                <w:color w:val="000000"/>
                <w:sz w:val="16"/>
                <w:szCs w:val="16"/>
              </w:rPr>
              <w:t>Judges' Pensions Scheme </w:t>
            </w:r>
          </w:p>
        </w:tc>
        <w:tc>
          <w:tcPr>
            <w:tcW w:w="548" w:type="pct"/>
            <w:tcBorders>
              <w:top w:val="nil"/>
              <w:left w:val="nil"/>
              <w:bottom w:val="nil"/>
              <w:right w:val="nil"/>
            </w:tcBorders>
            <w:shd w:val="clear" w:color="000000" w:fill="FFFFFF"/>
            <w:vAlign w:val="bottom"/>
            <w:hideMark/>
          </w:tcPr>
          <w:p w14:paraId="279A75BD"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1,295</w:t>
            </w:r>
          </w:p>
        </w:tc>
        <w:tc>
          <w:tcPr>
            <w:tcW w:w="548" w:type="pct"/>
            <w:tcBorders>
              <w:top w:val="nil"/>
              <w:left w:val="nil"/>
              <w:bottom w:val="nil"/>
              <w:right w:val="nil"/>
            </w:tcBorders>
            <w:shd w:val="clear" w:color="000000" w:fill="E6F2FF"/>
            <w:vAlign w:val="bottom"/>
            <w:hideMark/>
          </w:tcPr>
          <w:p w14:paraId="6BA3943F"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1,336</w:t>
            </w:r>
          </w:p>
        </w:tc>
        <w:tc>
          <w:tcPr>
            <w:tcW w:w="554" w:type="pct"/>
            <w:tcBorders>
              <w:top w:val="nil"/>
              <w:left w:val="nil"/>
              <w:bottom w:val="nil"/>
              <w:right w:val="nil"/>
            </w:tcBorders>
            <w:shd w:val="clear" w:color="000000" w:fill="FFFFFF"/>
            <w:vAlign w:val="bottom"/>
            <w:hideMark/>
          </w:tcPr>
          <w:p w14:paraId="7D7B24C0"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1,377</w:t>
            </w:r>
          </w:p>
        </w:tc>
        <w:tc>
          <w:tcPr>
            <w:tcW w:w="554" w:type="pct"/>
            <w:tcBorders>
              <w:top w:val="nil"/>
              <w:left w:val="nil"/>
              <w:bottom w:val="nil"/>
              <w:right w:val="nil"/>
            </w:tcBorders>
            <w:shd w:val="clear" w:color="000000" w:fill="FFFFFF"/>
            <w:vAlign w:val="bottom"/>
            <w:hideMark/>
          </w:tcPr>
          <w:p w14:paraId="783DE14B"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1,421</w:t>
            </w:r>
          </w:p>
        </w:tc>
        <w:tc>
          <w:tcPr>
            <w:tcW w:w="554" w:type="pct"/>
            <w:tcBorders>
              <w:top w:val="nil"/>
              <w:left w:val="nil"/>
              <w:bottom w:val="nil"/>
              <w:right w:val="nil"/>
            </w:tcBorders>
            <w:shd w:val="clear" w:color="000000" w:fill="FFFFFF"/>
            <w:vAlign w:val="bottom"/>
            <w:hideMark/>
          </w:tcPr>
          <w:p w14:paraId="78F8EAB6"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1,462</w:t>
            </w:r>
          </w:p>
        </w:tc>
      </w:tr>
      <w:tr w:rsidR="002955D0" w:rsidRPr="002955D0" w14:paraId="577DC121" w14:textId="77777777" w:rsidTr="002955D0">
        <w:trPr>
          <w:trHeight w:hRule="exact" w:val="230"/>
        </w:trPr>
        <w:tc>
          <w:tcPr>
            <w:tcW w:w="2243" w:type="pct"/>
            <w:tcBorders>
              <w:top w:val="nil"/>
              <w:left w:val="nil"/>
              <w:bottom w:val="nil"/>
              <w:right w:val="nil"/>
            </w:tcBorders>
            <w:shd w:val="clear" w:color="000000" w:fill="FFFFFF"/>
            <w:vAlign w:val="bottom"/>
            <w:hideMark/>
          </w:tcPr>
          <w:p w14:paraId="47451B13" w14:textId="77777777" w:rsidR="002955D0" w:rsidRPr="002955D0" w:rsidRDefault="002955D0" w:rsidP="002955D0">
            <w:pPr>
              <w:spacing w:before="0" w:after="0" w:line="240" w:lineRule="auto"/>
              <w:rPr>
                <w:rFonts w:ascii="Arial" w:hAnsi="Arial" w:cs="Arial"/>
                <w:color w:val="000000"/>
                <w:sz w:val="16"/>
                <w:szCs w:val="16"/>
              </w:rPr>
            </w:pPr>
            <w:r w:rsidRPr="002955D0">
              <w:rPr>
                <w:rFonts w:ascii="Arial" w:hAnsi="Arial" w:cs="Arial"/>
                <w:color w:val="000000"/>
                <w:sz w:val="16"/>
                <w:szCs w:val="16"/>
              </w:rPr>
              <w:t xml:space="preserve">Division 2 Judges of the Federal Circuit and </w:t>
            </w:r>
          </w:p>
        </w:tc>
        <w:tc>
          <w:tcPr>
            <w:tcW w:w="548" w:type="pct"/>
            <w:tcBorders>
              <w:top w:val="nil"/>
              <w:left w:val="nil"/>
              <w:bottom w:val="nil"/>
              <w:right w:val="nil"/>
            </w:tcBorders>
            <w:shd w:val="clear" w:color="000000" w:fill="FFFFFF"/>
            <w:vAlign w:val="bottom"/>
            <w:hideMark/>
          </w:tcPr>
          <w:p w14:paraId="412C7707"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 </w:t>
            </w:r>
          </w:p>
        </w:tc>
        <w:tc>
          <w:tcPr>
            <w:tcW w:w="548" w:type="pct"/>
            <w:tcBorders>
              <w:top w:val="nil"/>
              <w:left w:val="nil"/>
              <w:bottom w:val="nil"/>
              <w:right w:val="nil"/>
            </w:tcBorders>
            <w:shd w:val="clear" w:color="000000" w:fill="E6F2FF"/>
            <w:vAlign w:val="bottom"/>
            <w:hideMark/>
          </w:tcPr>
          <w:p w14:paraId="61DF2893"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 </w:t>
            </w:r>
          </w:p>
        </w:tc>
        <w:tc>
          <w:tcPr>
            <w:tcW w:w="554" w:type="pct"/>
            <w:tcBorders>
              <w:top w:val="nil"/>
              <w:left w:val="nil"/>
              <w:bottom w:val="nil"/>
              <w:right w:val="nil"/>
            </w:tcBorders>
            <w:shd w:val="clear" w:color="000000" w:fill="FFFFFF"/>
            <w:vAlign w:val="bottom"/>
            <w:hideMark/>
          </w:tcPr>
          <w:p w14:paraId="492471DC"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 </w:t>
            </w:r>
          </w:p>
        </w:tc>
        <w:tc>
          <w:tcPr>
            <w:tcW w:w="554" w:type="pct"/>
            <w:tcBorders>
              <w:top w:val="nil"/>
              <w:left w:val="nil"/>
              <w:bottom w:val="nil"/>
              <w:right w:val="nil"/>
            </w:tcBorders>
            <w:shd w:val="clear" w:color="000000" w:fill="FFFFFF"/>
            <w:vAlign w:val="bottom"/>
            <w:hideMark/>
          </w:tcPr>
          <w:p w14:paraId="1630D253"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 </w:t>
            </w:r>
          </w:p>
        </w:tc>
        <w:tc>
          <w:tcPr>
            <w:tcW w:w="554" w:type="pct"/>
            <w:tcBorders>
              <w:top w:val="nil"/>
              <w:left w:val="nil"/>
              <w:bottom w:val="nil"/>
              <w:right w:val="nil"/>
            </w:tcBorders>
            <w:shd w:val="clear" w:color="000000" w:fill="FFFFFF"/>
            <w:vAlign w:val="bottom"/>
            <w:hideMark/>
          </w:tcPr>
          <w:p w14:paraId="6A0185FA"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 </w:t>
            </w:r>
          </w:p>
        </w:tc>
      </w:tr>
      <w:tr w:rsidR="002955D0" w:rsidRPr="002955D0" w14:paraId="57594AF9" w14:textId="77777777" w:rsidTr="002955D0">
        <w:trPr>
          <w:trHeight w:hRule="exact" w:val="230"/>
        </w:trPr>
        <w:tc>
          <w:tcPr>
            <w:tcW w:w="2243" w:type="pct"/>
            <w:tcBorders>
              <w:top w:val="nil"/>
              <w:left w:val="nil"/>
              <w:bottom w:val="nil"/>
              <w:right w:val="nil"/>
            </w:tcBorders>
            <w:shd w:val="clear" w:color="000000" w:fill="FFFFFF"/>
            <w:vAlign w:val="bottom"/>
            <w:hideMark/>
          </w:tcPr>
          <w:p w14:paraId="0E66EBC1" w14:textId="77777777" w:rsidR="002955D0" w:rsidRPr="002955D0" w:rsidRDefault="002955D0" w:rsidP="002955D0">
            <w:pPr>
              <w:spacing w:before="0" w:after="0" w:line="240" w:lineRule="auto"/>
              <w:rPr>
                <w:rFonts w:ascii="Arial" w:hAnsi="Arial" w:cs="Arial"/>
                <w:color w:val="000000"/>
                <w:sz w:val="16"/>
                <w:szCs w:val="16"/>
              </w:rPr>
            </w:pPr>
            <w:r w:rsidRPr="002955D0">
              <w:rPr>
                <w:rFonts w:ascii="Arial" w:hAnsi="Arial" w:cs="Arial"/>
                <w:color w:val="000000"/>
                <w:sz w:val="16"/>
                <w:szCs w:val="16"/>
              </w:rPr>
              <w:t xml:space="preserve">   Family Court of Australia Death and Disability</w:t>
            </w:r>
          </w:p>
        </w:tc>
        <w:tc>
          <w:tcPr>
            <w:tcW w:w="548" w:type="pct"/>
            <w:tcBorders>
              <w:top w:val="nil"/>
              <w:left w:val="nil"/>
              <w:bottom w:val="nil"/>
              <w:right w:val="nil"/>
            </w:tcBorders>
            <w:shd w:val="clear" w:color="000000" w:fill="FFFFFF"/>
            <w:vAlign w:val="bottom"/>
            <w:hideMark/>
          </w:tcPr>
          <w:p w14:paraId="1D6EF9A5"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 </w:t>
            </w:r>
          </w:p>
        </w:tc>
        <w:tc>
          <w:tcPr>
            <w:tcW w:w="548" w:type="pct"/>
            <w:tcBorders>
              <w:top w:val="nil"/>
              <w:left w:val="nil"/>
              <w:bottom w:val="nil"/>
              <w:right w:val="nil"/>
            </w:tcBorders>
            <w:shd w:val="clear" w:color="000000" w:fill="E6F2FF"/>
            <w:vAlign w:val="bottom"/>
            <w:hideMark/>
          </w:tcPr>
          <w:p w14:paraId="456C0110"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 </w:t>
            </w:r>
          </w:p>
        </w:tc>
        <w:tc>
          <w:tcPr>
            <w:tcW w:w="554" w:type="pct"/>
            <w:tcBorders>
              <w:top w:val="nil"/>
              <w:left w:val="nil"/>
              <w:bottom w:val="nil"/>
              <w:right w:val="nil"/>
            </w:tcBorders>
            <w:shd w:val="clear" w:color="000000" w:fill="FFFFFF"/>
            <w:vAlign w:val="bottom"/>
            <w:hideMark/>
          </w:tcPr>
          <w:p w14:paraId="5B719FA6"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 </w:t>
            </w:r>
          </w:p>
        </w:tc>
        <w:tc>
          <w:tcPr>
            <w:tcW w:w="554" w:type="pct"/>
            <w:tcBorders>
              <w:top w:val="nil"/>
              <w:left w:val="nil"/>
              <w:bottom w:val="nil"/>
              <w:right w:val="nil"/>
            </w:tcBorders>
            <w:shd w:val="clear" w:color="000000" w:fill="FFFFFF"/>
            <w:vAlign w:val="bottom"/>
            <w:hideMark/>
          </w:tcPr>
          <w:p w14:paraId="31067F2B"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 </w:t>
            </w:r>
          </w:p>
        </w:tc>
        <w:tc>
          <w:tcPr>
            <w:tcW w:w="554" w:type="pct"/>
            <w:tcBorders>
              <w:top w:val="nil"/>
              <w:left w:val="nil"/>
              <w:bottom w:val="nil"/>
              <w:right w:val="nil"/>
            </w:tcBorders>
            <w:shd w:val="clear" w:color="000000" w:fill="FFFFFF"/>
            <w:vAlign w:val="bottom"/>
            <w:hideMark/>
          </w:tcPr>
          <w:p w14:paraId="6149629F"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 </w:t>
            </w:r>
          </w:p>
        </w:tc>
      </w:tr>
      <w:tr w:rsidR="002955D0" w:rsidRPr="002955D0" w14:paraId="3A1CF894" w14:textId="77777777" w:rsidTr="002955D0">
        <w:trPr>
          <w:trHeight w:hRule="exact" w:val="230"/>
        </w:trPr>
        <w:tc>
          <w:tcPr>
            <w:tcW w:w="2243" w:type="pct"/>
            <w:tcBorders>
              <w:top w:val="nil"/>
              <w:left w:val="nil"/>
              <w:bottom w:val="nil"/>
              <w:right w:val="nil"/>
            </w:tcBorders>
            <w:shd w:val="clear" w:color="000000" w:fill="FFFFFF"/>
            <w:vAlign w:val="bottom"/>
            <w:hideMark/>
          </w:tcPr>
          <w:p w14:paraId="179E0ACD" w14:textId="77777777" w:rsidR="002955D0" w:rsidRPr="002955D0" w:rsidRDefault="002955D0" w:rsidP="002955D0">
            <w:pPr>
              <w:spacing w:before="0" w:after="0" w:line="240" w:lineRule="auto"/>
              <w:rPr>
                <w:rFonts w:ascii="Arial" w:hAnsi="Arial" w:cs="Arial"/>
                <w:color w:val="000000"/>
                <w:sz w:val="16"/>
                <w:szCs w:val="16"/>
              </w:rPr>
            </w:pPr>
            <w:r w:rsidRPr="002955D0">
              <w:rPr>
                <w:rFonts w:ascii="Arial" w:hAnsi="Arial" w:cs="Arial"/>
                <w:color w:val="000000"/>
                <w:sz w:val="16"/>
                <w:szCs w:val="16"/>
              </w:rPr>
              <w:t xml:space="preserve">   Scheme</w:t>
            </w:r>
          </w:p>
        </w:tc>
        <w:tc>
          <w:tcPr>
            <w:tcW w:w="548" w:type="pct"/>
            <w:tcBorders>
              <w:top w:val="nil"/>
              <w:left w:val="nil"/>
              <w:bottom w:val="nil"/>
              <w:right w:val="nil"/>
            </w:tcBorders>
            <w:shd w:val="clear" w:color="000000" w:fill="FFFFFF"/>
            <w:vAlign w:val="bottom"/>
            <w:hideMark/>
          </w:tcPr>
          <w:p w14:paraId="251113DF"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1</w:t>
            </w:r>
          </w:p>
        </w:tc>
        <w:tc>
          <w:tcPr>
            <w:tcW w:w="548" w:type="pct"/>
            <w:tcBorders>
              <w:top w:val="nil"/>
              <w:left w:val="nil"/>
              <w:bottom w:val="nil"/>
              <w:right w:val="nil"/>
            </w:tcBorders>
            <w:shd w:val="clear" w:color="000000" w:fill="E6F2FF"/>
            <w:vAlign w:val="bottom"/>
            <w:hideMark/>
          </w:tcPr>
          <w:p w14:paraId="1B340ABC"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2</w:t>
            </w:r>
          </w:p>
        </w:tc>
        <w:tc>
          <w:tcPr>
            <w:tcW w:w="554" w:type="pct"/>
            <w:tcBorders>
              <w:top w:val="nil"/>
              <w:left w:val="nil"/>
              <w:bottom w:val="nil"/>
              <w:right w:val="nil"/>
            </w:tcBorders>
            <w:shd w:val="clear" w:color="000000" w:fill="FFFFFF"/>
            <w:vAlign w:val="bottom"/>
            <w:hideMark/>
          </w:tcPr>
          <w:p w14:paraId="368C9508"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2</w:t>
            </w:r>
          </w:p>
        </w:tc>
        <w:tc>
          <w:tcPr>
            <w:tcW w:w="554" w:type="pct"/>
            <w:tcBorders>
              <w:top w:val="nil"/>
              <w:left w:val="nil"/>
              <w:bottom w:val="nil"/>
              <w:right w:val="nil"/>
            </w:tcBorders>
            <w:shd w:val="clear" w:color="000000" w:fill="FFFFFF"/>
            <w:vAlign w:val="bottom"/>
            <w:hideMark/>
          </w:tcPr>
          <w:p w14:paraId="4A3E195D"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3</w:t>
            </w:r>
          </w:p>
        </w:tc>
        <w:tc>
          <w:tcPr>
            <w:tcW w:w="554" w:type="pct"/>
            <w:tcBorders>
              <w:top w:val="nil"/>
              <w:left w:val="nil"/>
              <w:bottom w:val="nil"/>
              <w:right w:val="nil"/>
            </w:tcBorders>
            <w:shd w:val="clear" w:color="000000" w:fill="FFFFFF"/>
            <w:vAlign w:val="bottom"/>
            <w:hideMark/>
          </w:tcPr>
          <w:p w14:paraId="4B5FED3C"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4</w:t>
            </w:r>
          </w:p>
        </w:tc>
      </w:tr>
      <w:tr w:rsidR="002955D0" w:rsidRPr="002955D0" w14:paraId="7BD63B83" w14:textId="77777777" w:rsidTr="002955D0">
        <w:trPr>
          <w:trHeight w:hRule="exact" w:val="230"/>
        </w:trPr>
        <w:tc>
          <w:tcPr>
            <w:tcW w:w="2243" w:type="pct"/>
            <w:tcBorders>
              <w:top w:val="nil"/>
              <w:left w:val="nil"/>
              <w:bottom w:val="nil"/>
              <w:right w:val="nil"/>
            </w:tcBorders>
            <w:shd w:val="clear" w:color="000000" w:fill="FFFFFF"/>
            <w:vAlign w:val="bottom"/>
            <w:hideMark/>
          </w:tcPr>
          <w:p w14:paraId="0479212F" w14:textId="77777777" w:rsidR="002955D0" w:rsidRPr="002955D0" w:rsidRDefault="002955D0" w:rsidP="002955D0">
            <w:pPr>
              <w:spacing w:before="0" w:after="0" w:line="240" w:lineRule="auto"/>
              <w:rPr>
                <w:rFonts w:ascii="Arial" w:hAnsi="Arial" w:cs="Arial"/>
                <w:i/>
                <w:iCs/>
                <w:color w:val="000000"/>
                <w:sz w:val="16"/>
                <w:szCs w:val="16"/>
              </w:rPr>
            </w:pPr>
            <w:r w:rsidRPr="002955D0">
              <w:rPr>
                <w:rFonts w:ascii="Arial" w:hAnsi="Arial" w:cs="Arial"/>
                <w:i/>
                <w:iCs/>
                <w:color w:val="000000"/>
                <w:sz w:val="16"/>
                <w:szCs w:val="16"/>
              </w:rPr>
              <w:t>Total civilian schemes</w:t>
            </w:r>
          </w:p>
        </w:tc>
        <w:tc>
          <w:tcPr>
            <w:tcW w:w="548" w:type="pct"/>
            <w:tcBorders>
              <w:top w:val="single" w:sz="4" w:space="0" w:color="000000"/>
              <w:left w:val="nil"/>
              <w:bottom w:val="nil"/>
              <w:right w:val="nil"/>
            </w:tcBorders>
            <w:shd w:val="clear" w:color="000000" w:fill="FFFFFF"/>
            <w:vAlign w:val="bottom"/>
            <w:hideMark/>
          </w:tcPr>
          <w:p w14:paraId="35FAAC44"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166,166</w:t>
            </w:r>
          </w:p>
        </w:tc>
        <w:tc>
          <w:tcPr>
            <w:tcW w:w="548" w:type="pct"/>
            <w:tcBorders>
              <w:top w:val="single" w:sz="4" w:space="0" w:color="000000"/>
              <w:left w:val="nil"/>
              <w:bottom w:val="nil"/>
              <w:right w:val="nil"/>
            </w:tcBorders>
            <w:shd w:val="clear" w:color="000000" w:fill="E6F2FF"/>
            <w:vAlign w:val="bottom"/>
            <w:hideMark/>
          </w:tcPr>
          <w:p w14:paraId="6CAF7C46"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171,054</w:t>
            </w:r>
          </w:p>
        </w:tc>
        <w:tc>
          <w:tcPr>
            <w:tcW w:w="554" w:type="pct"/>
            <w:tcBorders>
              <w:top w:val="single" w:sz="4" w:space="0" w:color="000000"/>
              <w:left w:val="nil"/>
              <w:bottom w:val="nil"/>
              <w:right w:val="nil"/>
            </w:tcBorders>
            <w:shd w:val="clear" w:color="000000" w:fill="FFFFFF"/>
            <w:vAlign w:val="bottom"/>
            <w:hideMark/>
          </w:tcPr>
          <w:p w14:paraId="233F85E3"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174,294</w:t>
            </w:r>
          </w:p>
        </w:tc>
        <w:tc>
          <w:tcPr>
            <w:tcW w:w="554" w:type="pct"/>
            <w:tcBorders>
              <w:top w:val="single" w:sz="4" w:space="0" w:color="000000"/>
              <w:left w:val="nil"/>
              <w:bottom w:val="nil"/>
              <w:right w:val="nil"/>
            </w:tcBorders>
            <w:shd w:val="clear" w:color="000000" w:fill="FFFFFF"/>
            <w:vAlign w:val="bottom"/>
            <w:hideMark/>
          </w:tcPr>
          <w:p w14:paraId="57002410"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177,457</w:t>
            </w:r>
          </w:p>
        </w:tc>
        <w:tc>
          <w:tcPr>
            <w:tcW w:w="554" w:type="pct"/>
            <w:tcBorders>
              <w:top w:val="single" w:sz="4" w:space="0" w:color="000000"/>
              <w:left w:val="nil"/>
              <w:bottom w:val="nil"/>
              <w:right w:val="nil"/>
            </w:tcBorders>
            <w:shd w:val="clear" w:color="000000" w:fill="FFFFFF"/>
            <w:vAlign w:val="bottom"/>
            <w:hideMark/>
          </w:tcPr>
          <w:p w14:paraId="3B746868"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179,492</w:t>
            </w:r>
          </w:p>
        </w:tc>
      </w:tr>
      <w:tr w:rsidR="002955D0" w:rsidRPr="002955D0" w14:paraId="34287444" w14:textId="77777777" w:rsidTr="002955D0">
        <w:trPr>
          <w:trHeight w:hRule="exact" w:val="230"/>
        </w:trPr>
        <w:tc>
          <w:tcPr>
            <w:tcW w:w="2243" w:type="pct"/>
            <w:tcBorders>
              <w:top w:val="nil"/>
              <w:left w:val="nil"/>
              <w:bottom w:val="nil"/>
              <w:right w:val="nil"/>
            </w:tcBorders>
            <w:shd w:val="clear" w:color="000000" w:fill="FFFFFF"/>
            <w:vAlign w:val="bottom"/>
            <w:hideMark/>
          </w:tcPr>
          <w:p w14:paraId="64B619B5" w14:textId="77777777" w:rsidR="002955D0" w:rsidRPr="002955D0" w:rsidRDefault="002955D0" w:rsidP="002955D0">
            <w:pPr>
              <w:spacing w:before="0" w:after="0" w:line="240" w:lineRule="auto"/>
              <w:rPr>
                <w:rFonts w:ascii="Arial" w:hAnsi="Arial" w:cs="Arial"/>
                <w:color w:val="000000"/>
                <w:sz w:val="16"/>
                <w:szCs w:val="16"/>
              </w:rPr>
            </w:pPr>
            <w:r w:rsidRPr="002955D0">
              <w:rPr>
                <w:rFonts w:ascii="Arial" w:hAnsi="Arial" w:cs="Arial"/>
                <w:color w:val="000000"/>
                <w:sz w:val="16"/>
                <w:szCs w:val="16"/>
              </w:rPr>
              <w:t> </w:t>
            </w:r>
          </w:p>
        </w:tc>
        <w:tc>
          <w:tcPr>
            <w:tcW w:w="548" w:type="pct"/>
            <w:tcBorders>
              <w:top w:val="nil"/>
              <w:left w:val="nil"/>
              <w:bottom w:val="nil"/>
              <w:right w:val="nil"/>
            </w:tcBorders>
            <w:shd w:val="clear" w:color="000000" w:fill="FFFFFF"/>
            <w:vAlign w:val="bottom"/>
            <w:hideMark/>
          </w:tcPr>
          <w:p w14:paraId="39051E2E"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 </w:t>
            </w:r>
          </w:p>
        </w:tc>
        <w:tc>
          <w:tcPr>
            <w:tcW w:w="548" w:type="pct"/>
            <w:tcBorders>
              <w:top w:val="nil"/>
              <w:left w:val="nil"/>
              <w:bottom w:val="nil"/>
              <w:right w:val="nil"/>
            </w:tcBorders>
            <w:shd w:val="clear" w:color="000000" w:fill="E6F2FF"/>
            <w:vAlign w:val="bottom"/>
            <w:hideMark/>
          </w:tcPr>
          <w:p w14:paraId="146393FE"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 </w:t>
            </w:r>
          </w:p>
        </w:tc>
        <w:tc>
          <w:tcPr>
            <w:tcW w:w="554" w:type="pct"/>
            <w:tcBorders>
              <w:top w:val="nil"/>
              <w:left w:val="nil"/>
              <w:bottom w:val="nil"/>
              <w:right w:val="nil"/>
            </w:tcBorders>
            <w:shd w:val="clear" w:color="000000" w:fill="FFFFFF"/>
            <w:vAlign w:val="bottom"/>
            <w:hideMark/>
          </w:tcPr>
          <w:p w14:paraId="4B31437A" w14:textId="77777777" w:rsidR="002955D0" w:rsidRPr="002955D0" w:rsidRDefault="002955D0" w:rsidP="002955D0">
            <w:pPr>
              <w:spacing w:before="0" w:after="0" w:line="240" w:lineRule="auto"/>
              <w:jc w:val="right"/>
              <w:rPr>
                <w:rFonts w:ascii="Arial" w:hAnsi="Arial" w:cs="Arial"/>
                <w:color w:val="000000"/>
                <w:sz w:val="16"/>
                <w:szCs w:val="16"/>
              </w:rPr>
            </w:pPr>
            <w:r w:rsidRPr="002955D0">
              <w:rPr>
                <w:rFonts w:ascii="Arial" w:hAnsi="Arial" w:cs="Arial"/>
                <w:color w:val="000000"/>
                <w:sz w:val="16"/>
                <w:szCs w:val="16"/>
              </w:rPr>
              <w:t> </w:t>
            </w:r>
          </w:p>
        </w:tc>
        <w:tc>
          <w:tcPr>
            <w:tcW w:w="554" w:type="pct"/>
            <w:tcBorders>
              <w:top w:val="nil"/>
              <w:left w:val="nil"/>
              <w:bottom w:val="nil"/>
              <w:right w:val="nil"/>
            </w:tcBorders>
            <w:shd w:val="clear" w:color="000000" w:fill="FFFFFF"/>
            <w:vAlign w:val="bottom"/>
            <w:hideMark/>
          </w:tcPr>
          <w:p w14:paraId="3BF66EBF"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 </w:t>
            </w:r>
          </w:p>
        </w:tc>
        <w:tc>
          <w:tcPr>
            <w:tcW w:w="554" w:type="pct"/>
            <w:tcBorders>
              <w:top w:val="nil"/>
              <w:left w:val="nil"/>
              <w:bottom w:val="nil"/>
              <w:right w:val="nil"/>
            </w:tcBorders>
            <w:shd w:val="clear" w:color="000000" w:fill="FFFFFF"/>
            <w:vAlign w:val="bottom"/>
            <w:hideMark/>
          </w:tcPr>
          <w:p w14:paraId="78035D8A"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 </w:t>
            </w:r>
          </w:p>
        </w:tc>
      </w:tr>
      <w:tr w:rsidR="002955D0" w:rsidRPr="002955D0" w14:paraId="7FBC4FEB" w14:textId="77777777" w:rsidTr="002955D0">
        <w:trPr>
          <w:trHeight w:hRule="exact" w:val="230"/>
        </w:trPr>
        <w:tc>
          <w:tcPr>
            <w:tcW w:w="2243" w:type="pct"/>
            <w:tcBorders>
              <w:top w:val="nil"/>
              <w:left w:val="nil"/>
              <w:bottom w:val="nil"/>
              <w:right w:val="nil"/>
            </w:tcBorders>
            <w:shd w:val="clear" w:color="000000" w:fill="FFFFFF"/>
            <w:vAlign w:val="bottom"/>
            <w:hideMark/>
          </w:tcPr>
          <w:p w14:paraId="0F01155F" w14:textId="77777777" w:rsidR="002955D0" w:rsidRPr="002955D0" w:rsidRDefault="002955D0" w:rsidP="002955D0">
            <w:pPr>
              <w:spacing w:before="0" w:after="0" w:line="240" w:lineRule="auto"/>
              <w:rPr>
                <w:rFonts w:ascii="Arial" w:hAnsi="Arial" w:cs="Arial"/>
                <w:i/>
                <w:iCs/>
                <w:color w:val="000000"/>
                <w:sz w:val="16"/>
                <w:szCs w:val="16"/>
              </w:rPr>
            </w:pPr>
            <w:r w:rsidRPr="002955D0">
              <w:rPr>
                <w:rFonts w:ascii="Arial" w:hAnsi="Arial" w:cs="Arial"/>
                <w:i/>
                <w:iCs/>
                <w:color w:val="000000"/>
                <w:sz w:val="16"/>
                <w:szCs w:val="16"/>
              </w:rPr>
              <w:t>Military superannuation schemes</w:t>
            </w:r>
          </w:p>
        </w:tc>
        <w:tc>
          <w:tcPr>
            <w:tcW w:w="548" w:type="pct"/>
            <w:tcBorders>
              <w:top w:val="nil"/>
              <w:left w:val="nil"/>
              <w:bottom w:val="nil"/>
              <w:right w:val="nil"/>
            </w:tcBorders>
            <w:shd w:val="clear" w:color="000000" w:fill="FFFFFF"/>
            <w:vAlign w:val="bottom"/>
            <w:hideMark/>
          </w:tcPr>
          <w:p w14:paraId="379D879F"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 </w:t>
            </w:r>
          </w:p>
        </w:tc>
        <w:tc>
          <w:tcPr>
            <w:tcW w:w="548" w:type="pct"/>
            <w:tcBorders>
              <w:top w:val="nil"/>
              <w:left w:val="nil"/>
              <w:bottom w:val="nil"/>
              <w:right w:val="nil"/>
            </w:tcBorders>
            <w:shd w:val="clear" w:color="000000" w:fill="E6F2FF"/>
            <w:vAlign w:val="bottom"/>
            <w:hideMark/>
          </w:tcPr>
          <w:p w14:paraId="3168BBC0"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 </w:t>
            </w:r>
          </w:p>
        </w:tc>
        <w:tc>
          <w:tcPr>
            <w:tcW w:w="554" w:type="pct"/>
            <w:tcBorders>
              <w:top w:val="nil"/>
              <w:left w:val="nil"/>
              <w:bottom w:val="nil"/>
              <w:right w:val="nil"/>
            </w:tcBorders>
            <w:shd w:val="clear" w:color="000000" w:fill="FFFFFF"/>
            <w:vAlign w:val="bottom"/>
            <w:hideMark/>
          </w:tcPr>
          <w:p w14:paraId="19F77830" w14:textId="77777777" w:rsidR="002955D0" w:rsidRPr="002955D0" w:rsidRDefault="002955D0" w:rsidP="002955D0">
            <w:pPr>
              <w:spacing w:before="0" w:after="0" w:line="240" w:lineRule="auto"/>
              <w:jc w:val="right"/>
              <w:rPr>
                <w:rFonts w:ascii="Arial" w:hAnsi="Arial" w:cs="Arial"/>
                <w:color w:val="000000"/>
                <w:sz w:val="16"/>
                <w:szCs w:val="16"/>
              </w:rPr>
            </w:pPr>
            <w:r w:rsidRPr="002955D0">
              <w:rPr>
                <w:rFonts w:ascii="Arial" w:hAnsi="Arial" w:cs="Arial"/>
                <w:color w:val="000000"/>
                <w:sz w:val="16"/>
                <w:szCs w:val="16"/>
              </w:rPr>
              <w:t> </w:t>
            </w:r>
          </w:p>
        </w:tc>
        <w:tc>
          <w:tcPr>
            <w:tcW w:w="554" w:type="pct"/>
            <w:tcBorders>
              <w:top w:val="nil"/>
              <w:left w:val="nil"/>
              <w:bottom w:val="nil"/>
              <w:right w:val="nil"/>
            </w:tcBorders>
            <w:shd w:val="clear" w:color="000000" w:fill="FFFFFF"/>
            <w:vAlign w:val="bottom"/>
            <w:hideMark/>
          </w:tcPr>
          <w:p w14:paraId="45CA8F32"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 </w:t>
            </w:r>
          </w:p>
        </w:tc>
        <w:tc>
          <w:tcPr>
            <w:tcW w:w="554" w:type="pct"/>
            <w:tcBorders>
              <w:top w:val="nil"/>
              <w:left w:val="nil"/>
              <w:bottom w:val="nil"/>
              <w:right w:val="nil"/>
            </w:tcBorders>
            <w:shd w:val="clear" w:color="000000" w:fill="FFFFFF"/>
            <w:vAlign w:val="bottom"/>
            <w:hideMark/>
          </w:tcPr>
          <w:p w14:paraId="06E44F21"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 </w:t>
            </w:r>
          </w:p>
        </w:tc>
      </w:tr>
      <w:tr w:rsidR="002955D0" w:rsidRPr="002955D0" w14:paraId="59E126EA" w14:textId="77777777" w:rsidTr="002955D0">
        <w:trPr>
          <w:trHeight w:hRule="exact" w:val="255"/>
        </w:trPr>
        <w:tc>
          <w:tcPr>
            <w:tcW w:w="2243" w:type="pct"/>
            <w:tcBorders>
              <w:top w:val="nil"/>
              <w:left w:val="nil"/>
              <w:bottom w:val="nil"/>
              <w:right w:val="nil"/>
            </w:tcBorders>
            <w:shd w:val="clear" w:color="000000" w:fill="FFFFFF"/>
            <w:vAlign w:val="bottom"/>
            <w:hideMark/>
          </w:tcPr>
          <w:p w14:paraId="7652EDA4" w14:textId="77777777" w:rsidR="002955D0" w:rsidRPr="002955D0" w:rsidRDefault="002955D0" w:rsidP="002955D0">
            <w:pPr>
              <w:spacing w:before="0" w:after="0" w:line="240" w:lineRule="auto"/>
              <w:rPr>
                <w:rFonts w:ascii="Arial" w:hAnsi="Arial" w:cs="Arial"/>
                <w:color w:val="000000"/>
                <w:sz w:val="16"/>
                <w:szCs w:val="16"/>
              </w:rPr>
            </w:pPr>
            <w:r w:rsidRPr="002955D0">
              <w:rPr>
                <w:rFonts w:ascii="Arial" w:hAnsi="Arial" w:cs="Arial"/>
                <w:color w:val="000000"/>
                <w:sz w:val="16"/>
                <w:szCs w:val="16"/>
              </w:rPr>
              <w:t>Military Superannuation and Benefits Scheme</w:t>
            </w:r>
          </w:p>
        </w:tc>
        <w:tc>
          <w:tcPr>
            <w:tcW w:w="548" w:type="pct"/>
            <w:tcBorders>
              <w:top w:val="nil"/>
              <w:left w:val="nil"/>
              <w:bottom w:val="nil"/>
              <w:right w:val="nil"/>
            </w:tcBorders>
            <w:shd w:val="clear" w:color="000000" w:fill="FFFFFF"/>
            <w:vAlign w:val="bottom"/>
            <w:hideMark/>
          </w:tcPr>
          <w:p w14:paraId="6673B5C5"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101,266</w:t>
            </w:r>
          </w:p>
        </w:tc>
        <w:tc>
          <w:tcPr>
            <w:tcW w:w="548" w:type="pct"/>
            <w:tcBorders>
              <w:top w:val="nil"/>
              <w:left w:val="nil"/>
              <w:bottom w:val="nil"/>
              <w:right w:val="nil"/>
            </w:tcBorders>
            <w:shd w:val="clear" w:color="000000" w:fill="E6F2FF"/>
            <w:vAlign w:val="bottom"/>
            <w:hideMark/>
          </w:tcPr>
          <w:p w14:paraId="001136E3"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105,569</w:t>
            </w:r>
          </w:p>
        </w:tc>
        <w:tc>
          <w:tcPr>
            <w:tcW w:w="554" w:type="pct"/>
            <w:tcBorders>
              <w:top w:val="nil"/>
              <w:left w:val="nil"/>
              <w:bottom w:val="nil"/>
              <w:right w:val="nil"/>
            </w:tcBorders>
            <w:shd w:val="clear" w:color="000000" w:fill="FFFFFF"/>
            <w:vAlign w:val="bottom"/>
            <w:hideMark/>
          </w:tcPr>
          <w:p w14:paraId="2F7360A8"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109,696</w:t>
            </w:r>
          </w:p>
        </w:tc>
        <w:tc>
          <w:tcPr>
            <w:tcW w:w="554" w:type="pct"/>
            <w:tcBorders>
              <w:top w:val="nil"/>
              <w:left w:val="nil"/>
              <w:bottom w:val="nil"/>
              <w:right w:val="nil"/>
            </w:tcBorders>
            <w:shd w:val="clear" w:color="000000" w:fill="FFFFFF"/>
            <w:vAlign w:val="bottom"/>
            <w:hideMark/>
          </w:tcPr>
          <w:p w14:paraId="784FDDBA"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113,638</w:t>
            </w:r>
          </w:p>
        </w:tc>
        <w:tc>
          <w:tcPr>
            <w:tcW w:w="554" w:type="pct"/>
            <w:tcBorders>
              <w:top w:val="nil"/>
              <w:left w:val="nil"/>
              <w:bottom w:val="nil"/>
              <w:right w:val="nil"/>
            </w:tcBorders>
            <w:shd w:val="clear" w:color="000000" w:fill="FFFFFF"/>
            <w:vAlign w:val="bottom"/>
            <w:hideMark/>
          </w:tcPr>
          <w:p w14:paraId="2AFA281A"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117,385</w:t>
            </w:r>
          </w:p>
        </w:tc>
      </w:tr>
      <w:tr w:rsidR="002955D0" w:rsidRPr="002955D0" w14:paraId="6976BE9C" w14:textId="77777777" w:rsidTr="002955D0">
        <w:trPr>
          <w:trHeight w:hRule="exact" w:val="230"/>
        </w:trPr>
        <w:tc>
          <w:tcPr>
            <w:tcW w:w="2243" w:type="pct"/>
            <w:tcBorders>
              <w:top w:val="nil"/>
              <w:left w:val="nil"/>
              <w:bottom w:val="nil"/>
              <w:right w:val="nil"/>
            </w:tcBorders>
            <w:shd w:val="clear" w:color="000000" w:fill="FFFFFF"/>
            <w:vAlign w:val="bottom"/>
            <w:hideMark/>
          </w:tcPr>
          <w:p w14:paraId="2D9EC510" w14:textId="77777777" w:rsidR="002955D0" w:rsidRPr="002955D0" w:rsidRDefault="002955D0" w:rsidP="002955D0">
            <w:pPr>
              <w:spacing w:before="0" w:after="0" w:line="240" w:lineRule="auto"/>
              <w:rPr>
                <w:rFonts w:ascii="Arial" w:hAnsi="Arial" w:cs="Arial"/>
                <w:color w:val="000000"/>
                <w:sz w:val="16"/>
                <w:szCs w:val="16"/>
              </w:rPr>
            </w:pPr>
            <w:r w:rsidRPr="002955D0">
              <w:rPr>
                <w:rFonts w:ascii="Arial" w:hAnsi="Arial" w:cs="Arial"/>
                <w:color w:val="000000"/>
                <w:sz w:val="16"/>
                <w:szCs w:val="16"/>
              </w:rPr>
              <w:t>Defence Force Retirement and Death Benefits</w:t>
            </w:r>
          </w:p>
        </w:tc>
        <w:tc>
          <w:tcPr>
            <w:tcW w:w="548" w:type="pct"/>
            <w:tcBorders>
              <w:top w:val="nil"/>
              <w:left w:val="nil"/>
              <w:bottom w:val="nil"/>
              <w:right w:val="nil"/>
            </w:tcBorders>
            <w:shd w:val="clear" w:color="000000" w:fill="FFFFFF"/>
            <w:vAlign w:val="bottom"/>
            <w:hideMark/>
          </w:tcPr>
          <w:p w14:paraId="3EFAB96D"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 </w:t>
            </w:r>
          </w:p>
        </w:tc>
        <w:tc>
          <w:tcPr>
            <w:tcW w:w="548" w:type="pct"/>
            <w:tcBorders>
              <w:top w:val="nil"/>
              <w:left w:val="nil"/>
              <w:bottom w:val="nil"/>
              <w:right w:val="nil"/>
            </w:tcBorders>
            <w:shd w:val="clear" w:color="000000" w:fill="E6F2FF"/>
            <w:vAlign w:val="bottom"/>
            <w:hideMark/>
          </w:tcPr>
          <w:p w14:paraId="33A8506F"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 </w:t>
            </w:r>
          </w:p>
        </w:tc>
        <w:tc>
          <w:tcPr>
            <w:tcW w:w="554" w:type="pct"/>
            <w:tcBorders>
              <w:top w:val="nil"/>
              <w:left w:val="nil"/>
              <w:bottom w:val="nil"/>
              <w:right w:val="nil"/>
            </w:tcBorders>
            <w:shd w:val="clear" w:color="000000" w:fill="FFFFFF"/>
            <w:vAlign w:val="bottom"/>
            <w:hideMark/>
          </w:tcPr>
          <w:p w14:paraId="5B2270E3"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 </w:t>
            </w:r>
          </w:p>
        </w:tc>
        <w:tc>
          <w:tcPr>
            <w:tcW w:w="554" w:type="pct"/>
            <w:tcBorders>
              <w:top w:val="nil"/>
              <w:left w:val="nil"/>
              <w:bottom w:val="nil"/>
              <w:right w:val="nil"/>
            </w:tcBorders>
            <w:shd w:val="clear" w:color="000000" w:fill="FFFFFF"/>
            <w:vAlign w:val="bottom"/>
            <w:hideMark/>
          </w:tcPr>
          <w:p w14:paraId="5351A801"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 </w:t>
            </w:r>
          </w:p>
        </w:tc>
        <w:tc>
          <w:tcPr>
            <w:tcW w:w="554" w:type="pct"/>
            <w:tcBorders>
              <w:top w:val="nil"/>
              <w:left w:val="nil"/>
              <w:bottom w:val="nil"/>
              <w:right w:val="nil"/>
            </w:tcBorders>
            <w:shd w:val="clear" w:color="000000" w:fill="FFFFFF"/>
            <w:vAlign w:val="bottom"/>
            <w:hideMark/>
          </w:tcPr>
          <w:p w14:paraId="7EA70BA5"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 </w:t>
            </w:r>
          </w:p>
        </w:tc>
      </w:tr>
      <w:tr w:rsidR="002955D0" w:rsidRPr="002955D0" w14:paraId="0AC817D5" w14:textId="77777777" w:rsidTr="002955D0">
        <w:trPr>
          <w:trHeight w:hRule="exact" w:val="230"/>
        </w:trPr>
        <w:tc>
          <w:tcPr>
            <w:tcW w:w="2243" w:type="pct"/>
            <w:tcBorders>
              <w:top w:val="nil"/>
              <w:left w:val="nil"/>
              <w:bottom w:val="nil"/>
              <w:right w:val="nil"/>
            </w:tcBorders>
            <w:shd w:val="clear" w:color="000000" w:fill="FFFFFF"/>
            <w:vAlign w:val="bottom"/>
            <w:hideMark/>
          </w:tcPr>
          <w:p w14:paraId="0B7B68AD" w14:textId="77777777" w:rsidR="002955D0" w:rsidRPr="002955D0" w:rsidRDefault="002955D0" w:rsidP="002955D0">
            <w:pPr>
              <w:spacing w:before="0" w:after="0" w:line="240" w:lineRule="auto"/>
              <w:rPr>
                <w:rFonts w:ascii="Arial" w:hAnsi="Arial" w:cs="Arial"/>
                <w:color w:val="000000"/>
                <w:sz w:val="16"/>
                <w:szCs w:val="16"/>
              </w:rPr>
            </w:pPr>
            <w:r w:rsidRPr="002955D0">
              <w:rPr>
                <w:rFonts w:ascii="Arial" w:hAnsi="Arial" w:cs="Arial"/>
                <w:color w:val="000000"/>
                <w:sz w:val="16"/>
                <w:szCs w:val="16"/>
              </w:rPr>
              <w:t xml:space="preserve">   Scheme</w:t>
            </w:r>
          </w:p>
        </w:tc>
        <w:tc>
          <w:tcPr>
            <w:tcW w:w="548" w:type="pct"/>
            <w:tcBorders>
              <w:top w:val="nil"/>
              <w:left w:val="nil"/>
              <w:bottom w:val="nil"/>
              <w:right w:val="nil"/>
            </w:tcBorders>
            <w:shd w:val="clear" w:color="000000" w:fill="FFFFFF"/>
            <w:vAlign w:val="bottom"/>
            <w:hideMark/>
          </w:tcPr>
          <w:p w14:paraId="186B6DF2"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29,211</w:t>
            </w:r>
          </w:p>
        </w:tc>
        <w:tc>
          <w:tcPr>
            <w:tcW w:w="548" w:type="pct"/>
            <w:tcBorders>
              <w:top w:val="nil"/>
              <w:left w:val="nil"/>
              <w:bottom w:val="nil"/>
              <w:right w:val="nil"/>
            </w:tcBorders>
            <w:shd w:val="clear" w:color="000000" w:fill="E6F2FF"/>
            <w:vAlign w:val="bottom"/>
            <w:hideMark/>
          </w:tcPr>
          <w:p w14:paraId="6C65A01F"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28,798</w:t>
            </w:r>
          </w:p>
        </w:tc>
        <w:tc>
          <w:tcPr>
            <w:tcW w:w="554" w:type="pct"/>
            <w:tcBorders>
              <w:top w:val="nil"/>
              <w:left w:val="nil"/>
              <w:bottom w:val="nil"/>
              <w:right w:val="nil"/>
            </w:tcBorders>
            <w:shd w:val="clear" w:color="000000" w:fill="FFFFFF"/>
            <w:vAlign w:val="bottom"/>
            <w:hideMark/>
          </w:tcPr>
          <w:p w14:paraId="11BCC2D8"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28,324</w:t>
            </w:r>
          </w:p>
        </w:tc>
        <w:tc>
          <w:tcPr>
            <w:tcW w:w="554" w:type="pct"/>
            <w:tcBorders>
              <w:top w:val="nil"/>
              <w:left w:val="nil"/>
              <w:bottom w:val="nil"/>
              <w:right w:val="nil"/>
            </w:tcBorders>
            <w:shd w:val="clear" w:color="000000" w:fill="FFFFFF"/>
            <w:vAlign w:val="bottom"/>
            <w:hideMark/>
          </w:tcPr>
          <w:p w14:paraId="118B9C6F"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27,782</w:t>
            </w:r>
          </w:p>
        </w:tc>
        <w:tc>
          <w:tcPr>
            <w:tcW w:w="554" w:type="pct"/>
            <w:tcBorders>
              <w:top w:val="nil"/>
              <w:left w:val="nil"/>
              <w:bottom w:val="nil"/>
              <w:right w:val="nil"/>
            </w:tcBorders>
            <w:shd w:val="clear" w:color="000000" w:fill="FFFFFF"/>
            <w:vAlign w:val="bottom"/>
            <w:hideMark/>
          </w:tcPr>
          <w:p w14:paraId="33FCF823"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27,199</w:t>
            </w:r>
          </w:p>
        </w:tc>
      </w:tr>
      <w:tr w:rsidR="002955D0" w:rsidRPr="002955D0" w14:paraId="4CBBB2D6" w14:textId="77777777" w:rsidTr="002955D0">
        <w:trPr>
          <w:trHeight w:hRule="exact" w:val="230"/>
        </w:trPr>
        <w:tc>
          <w:tcPr>
            <w:tcW w:w="2243" w:type="pct"/>
            <w:tcBorders>
              <w:top w:val="nil"/>
              <w:left w:val="nil"/>
              <w:bottom w:val="nil"/>
              <w:right w:val="nil"/>
            </w:tcBorders>
            <w:shd w:val="clear" w:color="000000" w:fill="FFFFFF"/>
            <w:vAlign w:val="bottom"/>
            <w:hideMark/>
          </w:tcPr>
          <w:p w14:paraId="3946F3F0" w14:textId="77777777" w:rsidR="002955D0" w:rsidRPr="002955D0" w:rsidRDefault="002955D0" w:rsidP="002955D0">
            <w:pPr>
              <w:spacing w:before="0" w:after="0" w:line="240" w:lineRule="auto"/>
              <w:rPr>
                <w:rFonts w:ascii="Arial" w:hAnsi="Arial" w:cs="Arial"/>
                <w:color w:val="000000"/>
                <w:sz w:val="16"/>
                <w:szCs w:val="16"/>
              </w:rPr>
            </w:pPr>
            <w:r w:rsidRPr="002955D0">
              <w:rPr>
                <w:rFonts w:ascii="Arial" w:hAnsi="Arial" w:cs="Arial"/>
                <w:color w:val="000000"/>
                <w:sz w:val="16"/>
                <w:szCs w:val="16"/>
              </w:rPr>
              <w:t>Defence Forces Retirement Benefits Scheme</w:t>
            </w:r>
          </w:p>
        </w:tc>
        <w:tc>
          <w:tcPr>
            <w:tcW w:w="548" w:type="pct"/>
            <w:tcBorders>
              <w:top w:val="nil"/>
              <w:left w:val="nil"/>
              <w:bottom w:val="nil"/>
              <w:right w:val="nil"/>
            </w:tcBorders>
            <w:shd w:val="clear" w:color="000000" w:fill="FFFFFF"/>
            <w:vAlign w:val="bottom"/>
            <w:hideMark/>
          </w:tcPr>
          <w:p w14:paraId="72090272"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200</w:t>
            </w:r>
          </w:p>
        </w:tc>
        <w:tc>
          <w:tcPr>
            <w:tcW w:w="548" w:type="pct"/>
            <w:tcBorders>
              <w:top w:val="nil"/>
              <w:left w:val="nil"/>
              <w:bottom w:val="nil"/>
              <w:right w:val="nil"/>
            </w:tcBorders>
            <w:shd w:val="clear" w:color="000000" w:fill="E6F2FF"/>
            <w:vAlign w:val="bottom"/>
            <w:hideMark/>
          </w:tcPr>
          <w:p w14:paraId="5EAFBB76"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184</w:t>
            </w:r>
          </w:p>
        </w:tc>
        <w:tc>
          <w:tcPr>
            <w:tcW w:w="554" w:type="pct"/>
            <w:tcBorders>
              <w:top w:val="nil"/>
              <w:left w:val="nil"/>
              <w:bottom w:val="nil"/>
              <w:right w:val="nil"/>
            </w:tcBorders>
            <w:shd w:val="clear" w:color="000000" w:fill="FFFFFF"/>
            <w:vAlign w:val="bottom"/>
            <w:hideMark/>
          </w:tcPr>
          <w:p w14:paraId="16B77503"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169</w:t>
            </w:r>
          </w:p>
        </w:tc>
        <w:tc>
          <w:tcPr>
            <w:tcW w:w="554" w:type="pct"/>
            <w:tcBorders>
              <w:top w:val="nil"/>
              <w:left w:val="nil"/>
              <w:bottom w:val="nil"/>
              <w:right w:val="nil"/>
            </w:tcBorders>
            <w:shd w:val="clear" w:color="000000" w:fill="FFFFFF"/>
            <w:vAlign w:val="bottom"/>
            <w:hideMark/>
          </w:tcPr>
          <w:p w14:paraId="1710B116"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155</w:t>
            </w:r>
          </w:p>
        </w:tc>
        <w:tc>
          <w:tcPr>
            <w:tcW w:w="554" w:type="pct"/>
            <w:tcBorders>
              <w:top w:val="nil"/>
              <w:left w:val="nil"/>
              <w:bottom w:val="nil"/>
              <w:right w:val="nil"/>
            </w:tcBorders>
            <w:shd w:val="clear" w:color="000000" w:fill="FFFFFF"/>
            <w:vAlign w:val="bottom"/>
            <w:hideMark/>
          </w:tcPr>
          <w:p w14:paraId="766646EC"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142</w:t>
            </w:r>
          </w:p>
        </w:tc>
      </w:tr>
      <w:tr w:rsidR="002955D0" w:rsidRPr="002955D0" w14:paraId="47C3AEDB" w14:textId="77777777" w:rsidTr="002955D0">
        <w:trPr>
          <w:trHeight w:hRule="exact" w:val="255"/>
        </w:trPr>
        <w:tc>
          <w:tcPr>
            <w:tcW w:w="2243" w:type="pct"/>
            <w:tcBorders>
              <w:top w:val="nil"/>
              <w:left w:val="nil"/>
              <w:bottom w:val="nil"/>
              <w:right w:val="nil"/>
            </w:tcBorders>
            <w:shd w:val="clear" w:color="000000" w:fill="FFFFFF"/>
            <w:vAlign w:val="bottom"/>
            <w:hideMark/>
          </w:tcPr>
          <w:p w14:paraId="57C8932F" w14:textId="77777777" w:rsidR="002955D0" w:rsidRPr="002955D0" w:rsidRDefault="002955D0" w:rsidP="002955D0">
            <w:pPr>
              <w:spacing w:before="0" w:after="0" w:line="240" w:lineRule="auto"/>
              <w:rPr>
                <w:rFonts w:ascii="Arial" w:hAnsi="Arial" w:cs="Arial"/>
                <w:color w:val="000000"/>
                <w:sz w:val="16"/>
                <w:szCs w:val="16"/>
              </w:rPr>
            </w:pPr>
            <w:r w:rsidRPr="002955D0">
              <w:rPr>
                <w:rFonts w:ascii="Arial" w:hAnsi="Arial" w:cs="Arial"/>
                <w:color w:val="000000"/>
                <w:sz w:val="16"/>
                <w:szCs w:val="16"/>
              </w:rPr>
              <w:t>Australian Defence Force Cover</w:t>
            </w:r>
          </w:p>
        </w:tc>
        <w:tc>
          <w:tcPr>
            <w:tcW w:w="548" w:type="pct"/>
            <w:tcBorders>
              <w:top w:val="nil"/>
              <w:left w:val="nil"/>
              <w:bottom w:val="single" w:sz="4" w:space="0" w:color="000000"/>
              <w:right w:val="nil"/>
            </w:tcBorders>
            <w:shd w:val="clear" w:color="000000" w:fill="FFFFFF"/>
            <w:vAlign w:val="bottom"/>
            <w:hideMark/>
          </w:tcPr>
          <w:p w14:paraId="44C34AF0"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6,197</w:t>
            </w:r>
          </w:p>
        </w:tc>
        <w:tc>
          <w:tcPr>
            <w:tcW w:w="548" w:type="pct"/>
            <w:tcBorders>
              <w:top w:val="nil"/>
              <w:left w:val="nil"/>
              <w:bottom w:val="single" w:sz="4" w:space="0" w:color="000000"/>
              <w:right w:val="nil"/>
            </w:tcBorders>
            <w:shd w:val="clear" w:color="000000" w:fill="E6F2FF"/>
            <w:vAlign w:val="bottom"/>
            <w:hideMark/>
          </w:tcPr>
          <w:p w14:paraId="131EC35D"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7,957</w:t>
            </w:r>
          </w:p>
        </w:tc>
        <w:tc>
          <w:tcPr>
            <w:tcW w:w="554" w:type="pct"/>
            <w:tcBorders>
              <w:top w:val="nil"/>
              <w:left w:val="nil"/>
              <w:bottom w:val="single" w:sz="4" w:space="0" w:color="000000"/>
              <w:right w:val="nil"/>
            </w:tcBorders>
            <w:shd w:val="clear" w:color="000000" w:fill="FFFFFF"/>
            <w:vAlign w:val="bottom"/>
            <w:hideMark/>
          </w:tcPr>
          <w:p w14:paraId="1E398906"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10,181</w:t>
            </w:r>
          </w:p>
        </w:tc>
        <w:tc>
          <w:tcPr>
            <w:tcW w:w="554" w:type="pct"/>
            <w:tcBorders>
              <w:top w:val="nil"/>
              <w:left w:val="nil"/>
              <w:bottom w:val="single" w:sz="4" w:space="0" w:color="000000"/>
              <w:right w:val="nil"/>
            </w:tcBorders>
            <w:shd w:val="clear" w:color="000000" w:fill="FFFFFF"/>
            <w:vAlign w:val="bottom"/>
            <w:hideMark/>
          </w:tcPr>
          <w:p w14:paraId="204A7489"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12,902</w:t>
            </w:r>
          </w:p>
        </w:tc>
        <w:tc>
          <w:tcPr>
            <w:tcW w:w="554" w:type="pct"/>
            <w:tcBorders>
              <w:top w:val="nil"/>
              <w:left w:val="nil"/>
              <w:bottom w:val="single" w:sz="4" w:space="0" w:color="000000"/>
              <w:right w:val="nil"/>
            </w:tcBorders>
            <w:shd w:val="clear" w:color="000000" w:fill="FFFFFF"/>
            <w:vAlign w:val="bottom"/>
            <w:hideMark/>
          </w:tcPr>
          <w:p w14:paraId="63657EF0"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16,158</w:t>
            </w:r>
          </w:p>
        </w:tc>
      </w:tr>
      <w:tr w:rsidR="002955D0" w:rsidRPr="002955D0" w14:paraId="66D5F16A" w14:textId="77777777" w:rsidTr="002955D0">
        <w:trPr>
          <w:trHeight w:hRule="exact" w:val="230"/>
        </w:trPr>
        <w:tc>
          <w:tcPr>
            <w:tcW w:w="2243" w:type="pct"/>
            <w:tcBorders>
              <w:top w:val="nil"/>
              <w:left w:val="nil"/>
              <w:bottom w:val="nil"/>
              <w:right w:val="nil"/>
            </w:tcBorders>
            <w:shd w:val="clear" w:color="000000" w:fill="FFFFFF"/>
            <w:vAlign w:val="bottom"/>
            <w:hideMark/>
          </w:tcPr>
          <w:p w14:paraId="3917D017" w14:textId="77777777" w:rsidR="002955D0" w:rsidRPr="002955D0" w:rsidRDefault="002955D0" w:rsidP="002955D0">
            <w:pPr>
              <w:spacing w:before="0" w:after="0" w:line="240" w:lineRule="auto"/>
              <w:rPr>
                <w:rFonts w:ascii="Arial" w:hAnsi="Arial" w:cs="Arial"/>
                <w:i/>
                <w:iCs/>
                <w:color w:val="000000"/>
                <w:sz w:val="16"/>
                <w:szCs w:val="16"/>
              </w:rPr>
            </w:pPr>
            <w:r w:rsidRPr="002955D0">
              <w:rPr>
                <w:rFonts w:ascii="Arial" w:hAnsi="Arial" w:cs="Arial"/>
                <w:i/>
                <w:iCs/>
                <w:color w:val="000000"/>
                <w:sz w:val="16"/>
                <w:szCs w:val="16"/>
              </w:rPr>
              <w:t>Total military schemes</w:t>
            </w:r>
          </w:p>
        </w:tc>
        <w:tc>
          <w:tcPr>
            <w:tcW w:w="548" w:type="pct"/>
            <w:tcBorders>
              <w:top w:val="nil"/>
              <w:left w:val="nil"/>
              <w:bottom w:val="nil"/>
              <w:right w:val="nil"/>
            </w:tcBorders>
            <w:shd w:val="clear" w:color="000000" w:fill="FFFFFF"/>
            <w:vAlign w:val="bottom"/>
            <w:hideMark/>
          </w:tcPr>
          <w:p w14:paraId="6196D599"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136,874</w:t>
            </w:r>
          </w:p>
        </w:tc>
        <w:tc>
          <w:tcPr>
            <w:tcW w:w="548" w:type="pct"/>
            <w:tcBorders>
              <w:top w:val="nil"/>
              <w:left w:val="nil"/>
              <w:bottom w:val="nil"/>
              <w:right w:val="nil"/>
            </w:tcBorders>
            <w:shd w:val="clear" w:color="000000" w:fill="E6F2FF"/>
            <w:vAlign w:val="bottom"/>
            <w:hideMark/>
          </w:tcPr>
          <w:p w14:paraId="728D4737"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142,509</w:t>
            </w:r>
          </w:p>
        </w:tc>
        <w:tc>
          <w:tcPr>
            <w:tcW w:w="554" w:type="pct"/>
            <w:tcBorders>
              <w:top w:val="nil"/>
              <w:left w:val="nil"/>
              <w:bottom w:val="nil"/>
              <w:right w:val="nil"/>
            </w:tcBorders>
            <w:shd w:val="clear" w:color="000000" w:fill="FFFFFF"/>
            <w:vAlign w:val="bottom"/>
            <w:hideMark/>
          </w:tcPr>
          <w:p w14:paraId="30F1F3C1"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148,369</w:t>
            </w:r>
          </w:p>
        </w:tc>
        <w:tc>
          <w:tcPr>
            <w:tcW w:w="554" w:type="pct"/>
            <w:tcBorders>
              <w:top w:val="nil"/>
              <w:left w:val="nil"/>
              <w:bottom w:val="nil"/>
              <w:right w:val="nil"/>
            </w:tcBorders>
            <w:shd w:val="clear" w:color="000000" w:fill="FFFFFF"/>
            <w:vAlign w:val="bottom"/>
            <w:hideMark/>
          </w:tcPr>
          <w:p w14:paraId="4D2106CF"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154,477</w:t>
            </w:r>
          </w:p>
        </w:tc>
        <w:tc>
          <w:tcPr>
            <w:tcW w:w="554" w:type="pct"/>
            <w:tcBorders>
              <w:top w:val="nil"/>
              <w:left w:val="nil"/>
              <w:bottom w:val="nil"/>
              <w:right w:val="nil"/>
            </w:tcBorders>
            <w:shd w:val="clear" w:color="000000" w:fill="FFFFFF"/>
            <w:vAlign w:val="bottom"/>
            <w:hideMark/>
          </w:tcPr>
          <w:p w14:paraId="070F08EC"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160,883</w:t>
            </w:r>
          </w:p>
        </w:tc>
      </w:tr>
      <w:tr w:rsidR="002955D0" w:rsidRPr="002955D0" w14:paraId="140708D6" w14:textId="77777777" w:rsidTr="002955D0">
        <w:trPr>
          <w:trHeight w:hRule="exact" w:val="230"/>
        </w:trPr>
        <w:tc>
          <w:tcPr>
            <w:tcW w:w="2243" w:type="pct"/>
            <w:tcBorders>
              <w:top w:val="nil"/>
              <w:left w:val="nil"/>
              <w:bottom w:val="nil"/>
              <w:right w:val="nil"/>
            </w:tcBorders>
            <w:shd w:val="clear" w:color="000000" w:fill="FFFFFF"/>
            <w:vAlign w:val="bottom"/>
            <w:hideMark/>
          </w:tcPr>
          <w:p w14:paraId="389B6BBD" w14:textId="77777777" w:rsidR="002955D0" w:rsidRPr="002955D0" w:rsidRDefault="002955D0" w:rsidP="002955D0">
            <w:pPr>
              <w:spacing w:before="0" w:after="0" w:line="240" w:lineRule="auto"/>
              <w:rPr>
                <w:rFonts w:ascii="Arial" w:hAnsi="Arial" w:cs="Arial"/>
                <w:i/>
                <w:iCs/>
                <w:color w:val="000000"/>
                <w:sz w:val="16"/>
                <w:szCs w:val="16"/>
              </w:rPr>
            </w:pPr>
            <w:r w:rsidRPr="002955D0">
              <w:rPr>
                <w:rFonts w:ascii="Arial" w:hAnsi="Arial" w:cs="Arial"/>
                <w:i/>
                <w:iCs/>
                <w:color w:val="000000"/>
                <w:sz w:val="16"/>
                <w:szCs w:val="16"/>
              </w:rPr>
              <w:t> </w:t>
            </w:r>
          </w:p>
        </w:tc>
        <w:tc>
          <w:tcPr>
            <w:tcW w:w="548" w:type="pct"/>
            <w:tcBorders>
              <w:top w:val="nil"/>
              <w:left w:val="nil"/>
              <w:bottom w:val="nil"/>
              <w:right w:val="nil"/>
            </w:tcBorders>
            <w:shd w:val="clear" w:color="000000" w:fill="FFFFFF"/>
            <w:vAlign w:val="bottom"/>
            <w:hideMark/>
          </w:tcPr>
          <w:p w14:paraId="3D8111A5"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 </w:t>
            </w:r>
          </w:p>
        </w:tc>
        <w:tc>
          <w:tcPr>
            <w:tcW w:w="548" w:type="pct"/>
            <w:tcBorders>
              <w:top w:val="nil"/>
              <w:left w:val="nil"/>
              <w:bottom w:val="nil"/>
              <w:right w:val="nil"/>
            </w:tcBorders>
            <w:shd w:val="clear" w:color="000000" w:fill="E6F2FF"/>
            <w:vAlign w:val="bottom"/>
            <w:hideMark/>
          </w:tcPr>
          <w:p w14:paraId="1B8EB492"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 </w:t>
            </w:r>
          </w:p>
        </w:tc>
        <w:tc>
          <w:tcPr>
            <w:tcW w:w="554" w:type="pct"/>
            <w:tcBorders>
              <w:top w:val="nil"/>
              <w:left w:val="nil"/>
              <w:bottom w:val="nil"/>
              <w:right w:val="nil"/>
            </w:tcBorders>
            <w:shd w:val="clear" w:color="000000" w:fill="FFFFFF"/>
            <w:vAlign w:val="bottom"/>
            <w:hideMark/>
          </w:tcPr>
          <w:p w14:paraId="4CB1FF68"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 </w:t>
            </w:r>
          </w:p>
        </w:tc>
        <w:tc>
          <w:tcPr>
            <w:tcW w:w="554" w:type="pct"/>
            <w:tcBorders>
              <w:top w:val="nil"/>
              <w:left w:val="nil"/>
              <w:bottom w:val="nil"/>
              <w:right w:val="nil"/>
            </w:tcBorders>
            <w:shd w:val="clear" w:color="000000" w:fill="FFFFFF"/>
            <w:vAlign w:val="bottom"/>
            <w:hideMark/>
          </w:tcPr>
          <w:p w14:paraId="63A025BA"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 </w:t>
            </w:r>
          </w:p>
        </w:tc>
        <w:tc>
          <w:tcPr>
            <w:tcW w:w="554" w:type="pct"/>
            <w:tcBorders>
              <w:top w:val="nil"/>
              <w:left w:val="nil"/>
              <w:bottom w:val="nil"/>
              <w:right w:val="nil"/>
            </w:tcBorders>
            <w:shd w:val="clear" w:color="000000" w:fill="FFFFFF"/>
            <w:vAlign w:val="bottom"/>
            <w:hideMark/>
          </w:tcPr>
          <w:p w14:paraId="11D42E75" w14:textId="77777777" w:rsidR="002955D0" w:rsidRPr="002955D0" w:rsidRDefault="002955D0" w:rsidP="002955D0">
            <w:pPr>
              <w:spacing w:before="0" w:after="0" w:line="240" w:lineRule="auto"/>
              <w:jc w:val="right"/>
              <w:rPr>
                <w:rFonts w:ascii="Arial" w:hAnsi="Arial" w:cs="Arial"/>
                <w:sz w:val="16"/>
                <w:szCs w:val="16"/>
              </w:rPr>
            </w:pPr>
            <w:r w:rsidRPr="002955D0">
              <w:rPr>
                <w:rFonts w:ascii="Arial" w:hAnsi="Arial" w:cs="Arial"/>
                <w:sz w:val="16"/>
                <w:szCs w:val="16"/>
              </w:rPr>
              <w:t> </w:t>
            </w:r>
          </w:p>
        </w:tc>
      </w:tr>
      <w:tr w:rsidR="002955D0" w:rsidRPr="002955D0" w14:paraId="0D0E2CB8" w14:textId="77777777" w:rsidTr="002955D0">
        <w:trPr>
          <w:trHeight w:hRule="exact" w:val="230"/>
        </w:trPr>
        <w:tc>
          <w:tcPr>
            <w:tcW w:w="2243" w:type="pct"/>
            <w:tcBorders>
              <w:top w:val="nil"/>
              <w:left w:val="nil"/>
              <w:bottom w:val="nil"/>
              <w:right w:val="nil"/>
            </w:tcBorders>
            <w:shd w:val="clear" w:color="000000" w:fill="FFFFFF"/>
            <w:vAlign w:val="bottom"/>
            <w:hideMark/>
          </w:tcPr>
          <w:p w14:paraId="6CEAB469" w14:textId="77777777" w:rsidR="002955D0" w:rsidRPr="002955D0" w:rsidRDefault="002955D0" w:rsidP="002955D0">
            <w:pPr>
              <w:spacing w:before="0" w:after="0" w:line="240" w:lineRule="auto"/>
              <w:rPr>
                <w:rFonts w:ascii="Arial" w:hAnsi="Arial" w:cs="Arial"/>
                <w:color w:val="000000"/>
                <w:sz w:val="16"/>
                <w:szCs w:val="16"/>
              </w:rPr>
            </w:pPr>
            <w:r w:rsidRPr="002955D0">
              <w:rPr>
                <w:rFonts w:ascii="Arial" w:hAnsi="Arial" w:cs="Arial"/>
                <w:color w:val="000000"/>
                <w:sz w:val="16"/>
                <w:szCs w:val="16"/>
              </w:rPr>
              <w:t>Other schemes</w:t>
            </w:r>
          </w:p>
        </w:tc>
        <w:tc>
          <w:tcPr>
            <w:tcW w:w="548" w:type="pct"/>
            <w:tcBorders>
              <w:top w:val="nil"/>
              <w:left w:val="nil"/>
              <w:bottom w:val="nil"/>
              <w:right w:val="nil"/>
            </w:tcBorders>
            <w:shd w:val="clear" w:color="000000" w:fill="FFFFFF"/>
            <w:vAlign w:val="bottom"/>
            <w:hideMark/>
          </w:tcPr>
          <w:p w14:paraId="0318029B" w14:textId="77777777" w:rsidR="002955D0" w:rsidRPr="002955D0" w:rsidRDefault="002955D0" w:rsidP="002955D0">
            <w:pPr>
              <w:spacing w:before="0" w:after="0" w:line="240" w:lineRule="auto"/>
              <w:jc w:val="right"/>
              <w:rPr>
                <w:rFonts w:ascii="Arial" w:hAnsi="Arial" w:cs="Arial"/>
                <w:color w:val="000000"/>
                <w:sz w:val="16"/>
                <w:szCs w:val="16"/>
              </w:rPr>
            </w:pPr>
            <w:r w:rsidRPr="002955D0">
              <w:rPr>
                <w:rFonts w:ascii="Arial" w:hAnsi="Arial" w:cs="Arial"/>
                <w:color w:val="000000"/>
                <w:sz w:val="16"/>
                <w:szCs w:val="16"/>
              </w:rPr>
              <w:t>236</w:t>
            </w:r>
          </w:p>
        </w:tc>
        <w:tc>
          <w:tcPr>
            <w:tcW w:w="548" w:type="pct"/>
            <w:tcBorders>
              <w:top w:val="nil"/>
              <w:left w:val="nil"/>
              <w:bottom w:val="nil"/>
              <w:right w:val="nil"/>
            </w:tcBorders>
            <w:shd w:val="clear" w:color="000000" w:fill="E6F2FF"/>
            <w:vAlign w:val="bottom"/>
            <w:hideMark/>
          </w:tcPr>
          <w:p w14:paraId="4B289B7F" w14:textId="77777777" w:rsidR="002955D0" w:rsidRPr="002955D0" w:rsidRDefault="002955D0" w:rsidP="002955D0">
            <w:pPr>
              <w:spacing w:before="0" w:after="0" w:line="240" w:lineRule="auto"/>
              <w:jc w:val="right"/>
              <w:rPr>
                <w:rFonts w:ascii="Arial" w:hAnsi="Arial" w:cs="Arial"/>
                <w:color w:val="000000"/>
                <w:sz w:val="16"/>
                <w:szCs w:val="16"/>
              </w:rPr>
            </w:pPr>
            <w:r w:rsidRPr="002955D0">
              <w:rPr>
                <w:rFonts w:ascii="Arial" w:hAnsi="Arial" w:cs="Arial"/>
                <w:color w:val="000000"/>
                <w:sz w:val="16"/>
                <w:szCs w:val="16"/>
              </w:rPr>
              <w:t>244</w:t>
            </w:r>
          </w:p>
        </w:tc>
        <w:tc>
          <w:tcPr>
            <w:tcW w:w="554" w:type="pct"/>
            <w:tcBorders>
              <w:top w:val="nil"/>
              <w:left w:val="nil"/>
              <w:bottom w:val="nil"/>
              <w:right w:val="nil"/>
            </w:tcBorders>
            <w:shd w:val="clear" w:color="000000" w:fill="FFFFFF"/>
            <w:vAlign w:val="bottom"/>
            <w:hideMark/>
          </w:tcPr>
          <w:p w14:paraId="6FE230E7" w14:textId="77777777" w:rsidR="002955D0" w:rsidRPr="002955D0" w:rsidRDefault="002955D0" w:rsidP="002955D0">
            <w:pPr>
              <w:spacing w:before="0" w:after="0" w:line="240" w:lineRule="auto"/>
              <w:jc w:val="right"/>
              <w:rPr>
                <w:rFonts w:ascii="Arial" w:hAnsi="Arial" w:cs="Arial"/>
                <w:color w:val="000000"/>
                <w:sz w:val="16"/>
                <w:szCs w:val="16"/>
              </w:rPr>
            </w:pPr>
            <w:r w:rsidRPr="002955D0">
              <w:rPr>
                <w:rFonts w:ascii="Arial" w:hAnsi="Arial" w:cs="Arial"/>
                <w:color w:val="000000"/>
                <w:sz w:val="16"/>
                <w:szCs w:val="16"/>
              </w:rPr>
              <w:t>247</w:t>
            </w:r>
          </w:p>
        </w:tc>
        <w:tc>
          <w:tcPr>
            <w:tcW w:w="554" w:type="pct"/>
            <w:tcBorders>
              <w:top w:val="nil"/>
              <w:left w:val="nil"/>
              <w:bottom w:val="nil"/>
              <w:right w:val="nil"/>
            </w:tcBorders>
            <w:shd w:val="clear" w:color="000000" w:fill="FFFFFF"/>
            <w:vAlign w:val="bottom"/>
            <w:hideMark/>
          </w:tcPr>
          <w:p w14:paraId="537AEFA0" w14:textId="77777777" w:rsidR="002955D0" w:rsidRPr="002955D0" w:rsidRDefault="002955D0" w:rsidP="002955D0">
            <w:pPr>
              <w:spacing w:before="0" w:after="0" w:line="240" w:lineRule="auto"/>
              <w:jc w:val="right"/>
              <w:rPr>
                <w:rFonts w:ascii="Arial" w:hAnsi="Arial" w:cs="Arial"/>
                <w:color w:val="000000"/>
                <w:sz w:val="16"/>
                <w:szCs w:val="16"/>
              </w:rPr>
            </w:pPr>
            <w:r w:rsidRPr="002955D0">
              <w:rPr>
                <w:rFonts w:ascii="Arial" w:hAnsi="Arial" w:cs="Arial"/>
                <w:color w:val="000000"/>
                <w:sz w:val="16"/>
                <w:szCs w:val="16"/>
              </w:rPr>
              <w:t>177</w:t>
            </w:r>
          </w:p>
        </w:tc>
        <w:tc>
          <w:tcPr>
            <w:tcW w:w="554" w:type="pct"/>
            <w:tcBorders>
              <w:top w:val="nil"/>
              <w:left w:val="nil"/>
              <w:bottom w:val="nil"/>
              <w:right w:val="nil"/>
            </w:tcBorders>
            <w:shd w:val="clear" w:color="000000" w:fill="FFFFFF"/>
            <w:vAlign w:val="bottom"/>
            <w:hideMark/>
          </w:tcPr>
          <w:p w14:paraId="2E47A192" w14:textId="77777777" w:rsidR="002955D0" w:rsidRPr="002955D0" w:rsidRDefault="002955D0" w:rsidP="002955D0">
            <w:pPr>
              <w:spacing w:before="0" w:after="0" w:line="240" w:lineRule="auto"/>
              <w:jc w:val="right"/>
              <w:rPr>
                <w:rFonts w:ascii="Arial" w:hAnsi="Arial" w:cs="Arial"/>
                <w:color w:val="000000"/>
                <w:sz w:val="16"/>
                <w:szCs w:val="16"/>
              </w:rPr>
            </w:pPr>
            <w:r w:rsidRPr="002955D0">
              <w:rPr>
                <w:rFonts w:ascii="Arial" w:hAnsi="Arial" w:cs="Arial"/>
                <w:color w:val="000000"/>
                <w:sz w:val="16"/>
                <w:szCs w:val="16"/>
              </w:rPr>
              <w:t>182</w:t>
            </w:r>
          </w:p>
        </w:tc>
      </w:tr>
      <w:tr w:rsidR="002955D0" w:rsidRPr="002955D0" w14:paraId="1C05DC87" w14:textId="77777777" w:rsidTr="002955D0">
        <w:trPr>
          <w:trHeight w:hRule="exact" w:val="230"/>
        </w:trPr>
        <w:tc>
          <w:tcPr>
            <w:tcW w:w="2243" w:type="pct"/>
            <w:tcBorders>
              <w:top w:val="single" w:sz="4" w:space="0" w:color="293F5B"/>
              <w:left w:val="nil"/>
              <w:bottom w:val="single" w:sz="4" w:space="0" w:color="293F5B"/>
              <w:right w:val="nil"/>
            </w:tcBorders>
            <w:shd w:val="clear" w:color="000000" w:fill="FFFFFF"/>
            <w:vAlign w:val="bottom"/>
            <w:hideMark/>
          </w:tcPr>
          <w:p w14:paraId="73D637AD" w14:textId="77777777" w:rsidR="002955D0" w:rsidRPr="002955D0" w:rsidRDefault="002955D0" w:rsidP="002955D0">
            <w:pPr>
              <w:spacing w:before="0" w:after="0" w:line="240" w:lineRule="auto"/>
              <w:rPr>
                <w:rFonts w:ascii="Arial" w:hAnsi="Arial" w:cs="Arial"/>
                <w:b/>
                <w:bCs/>
                <w:color w:val="000000"/>
                <w:sz w:val="16"/>
                <w:szCs w:val="16"/>
              </w:rPr>
            </w:pPr>
            <w:r w:rsidRPr="002955D0">
              <w:rPr>
                <w:rFonts w:ascii="Arial" w:hAnsi="Arial" w:cs="Arial"/>
                <w:b/>
                <w:bCs/>
                <w:color w:val="000000"/>
                <w:sz w:val="16"/>
                <w:szCs w:val="16"/>
              </w:rPr>
              <w:t>Total</w:t>
            </w:r>
          </w:p>
        </w:tc>
        <w:tc>
          <w:tcPr>
            <w:tcW w:w="548" w:type="pct"/>
            <w:tcBorders>
              <w:top w:val="single" w:sz="4" w:space="0" w:color="293F5B"/>
              <w:left w:val="nil"/>
              <w:bottom w:val="single" w:sz="4" w:space="0" w:color="293F5B"/>
              <w:right w:val="nil"/>
            </w:tcBorders>
            <w:shd w:val="clear" w:color="000000" w:fill="FFFFFF"/>
            <w:vAlign w:val="bottom"/>
            <w:hideMark/>
          </w:tcPr>
          <w:p w14:paraId="7C22E7D2" w14:textId="77777777" w:rsidR="002955D0" w:rsidRPr="002955D0" w:rsidRDefault="002955D0" w:rsidP="002955D0">
            <w:pPr>
              <w:spacing w:before="0" w:after="0" w:line="240" w:lineRule="auto"/>
              <w:jc w:val="right"/>
              <w:rPr>
                <w:rFonts w:ascii="Arial" w:hAnsi="Arial" w:cs="Arial"/>
                <w:b/>
                <w:bCs/>
                <w:color w:val="000000"/>
                <w:sz w:val="16"/>
                <w:szCs w:val="16"/>
              </w:rPr>
            </w:pPr>
            <w:r w:rsidRPr="002955D0">
              <w:rPr>
                <w:rFonts w:ascii="Arial" w:hAnsi="Arial" w:cs="Arial"/>
                <w:b/>
                <w:bCs/>
                <w:color w:val="000000"/>
                <w:sz w:val="16"/>
                <w:szCs w:val="16"/>
              </w:rPr>
              <w:t>303,276</w:t>
            </w:r>
          </w:p>
        </w:tc>
        <w:tc>
          <w:tcPr>
            <w:tcW w:w="548" w:type="pct"/>
            <w:tcBorders>
              <w:top w:val="single" w:sz="4" w:space="0" w:color="293F5B"/>
              <w:left w:val="nil"/>
              <w:bottom w:val="single" w:sz="4" w:space="0" w:color="293F5B"/>
              <w:right w:val="nil"/>
            </w:tcBorders>
            <w:shd w:val="clear" w:color="000000" w:fill="E6F2FF"/>
            <w:vAlign w:val="bottom"/>
            <w:hideMark/>
          </w:tcPr>
          <w:p w14:paraId="62246CC8" w14:textId="77777777" w:rsidR="002955D0" w:rsidRPr="002955D0" w:rsidRDefault="002955D0" w:rsidP="002955D0">
            <w:pPr>
              <w:spacing w:before="0" w:after="0" w:line="240" w:lineRule="auto"/>
              <w:jc w:val="right"/>
              <w:rPr>
                <w:rFonts w:ascii="Arial" w:hAnsi="Arial" w:cs="Arial"/>
                <w:b/>
                <w:bCs/>
                <w:color w:val="000000"/>
                <w:sz w:val="16"/>
                <w:szCs w:val="16"/>
              </w:rPr>
            </w:pPr>
            <w:r w:rsidRPr="002955D0">
              <w:rPr>
                <w:rFonts w:ascii="Arial" w:hAnsi="Arial" w:cs="Arial"/>
                <w:b/>
                <w:bCs/>
                <w:color w:val="000000"/>
                <w:sz w:val="16"/>
                <w:szCs w:val="16"/>
              </w:rPr>
              <w:t>313,806</w:t>
            </w:r>
          </w:p>
        </w:tc>
        <w:tc>
          <w:tcPr>
            <w:tcW w:w="554" w:type="pct"/>
            <w:tcBorders>
              <w:top w:val="single" w:sz="4" w:space="0" w:color="293F5B"/>
              <w:left w:val="nil"/>
              <w:bottom w:val="single" w:sz="4" w:space="0" w:color="293F5B"/>
              <w:right w:val="nil"/>
            </w:tcBorders>
            <w:shd w:val="clear" w:color="000000" w:fill="FFFFFF"/>
            <w:vAlign w:val="bottom"/>
            <w:hideMark/>
          </w:tcPr>
          <w:p w14:paraId="2A6E1A7C" w14:textId="77777777" w:rsidR="002955D0" w:rsidRPr="002955D0" w:rsidRDefault="002955D0" w:rsidP="002955D0">
            <w:pPr>
              <w:spacing w:before="0" w:after="0" w:line="240" w:lineRule="auto"/>
              <w:jc w:val="right"/>
              <w:rPr>
                <w:rFonts w:ascii="Arial" w:hAnsi="Arial" w:cs="Arial"/>
                <w:b/>
                <w:bCs/>
                <w:color w:val="000000"/>
                <w:sz w:val="16"/>
                <w:szCs w:val="16"/>
              </w:rPr>
            </w:pPr>
            <w:r w:rsidRPr="002955D0">
              <w:rPr>
                <w:rFonts w:ascii="Arial" w:hAnsi="Arial" w:cs="Arial"/>
                <w:b/>
                <w:bCs/>
                <w:color w:val="000000"/>
                <w:sz w:val="16"/>
                <w:szCs w:val="16"/>
              </w:rPr>
              <w:t>322,911</w:t>
            </w:r>
          </w:p>
        </w:tc>
        <w:tc>
          <w:tcPr>
            <w:tcW w:w="554" w:type="pct"/>
            <w:tcBorders>
              <w:top w:val="single" w:sz="4" w:space="0" w:color="293F5B"/>
              <w:left w:val="nil"/>
              <w:bottom w:val="single" w:sz="4" w:space="0" w:color="293F5B"/>
              <w:right w:val="nil"/>
            </w:tcBorders>
            <w:shd w:val="clear" w:color="000000" w:fill="FFFFFF"/>
            <w:vAlign w:val="bottom"/>
            <w:hideMark/>
          </w:tcPr>
          <w:p w14:paraId="5CFADB1D" w14:textId="77777777" w:rsidR="002955D0" w:rsidRPr="002955D0" w:rsidRDefault="002955D0" w:rsidP="002955D0">
            <w:pPr>
              <w:spacing w:before="0" w:after="0" w:line="240" w:lineRule="auto"/>
              <w:jc w:val="right"/>
              <w:rPr>
                <w:rFonts w:ascii="Arial" w:hAnsi="Arial" w:cs="Arial"/>
                <w:b/>
                <w:bCs/>
                <w:color w:val="000000"/>
                <w:sz w:val="16"/>
                <w:szCs w:val="16"/>
              </w:rPr>
            </w:pPr>
            <w:r w:rsidRPr="002955D0">
              <w:rPr>
                <w:rFonts w:ascii="Arial" w:hAnsi="Arial" w:cs="Arial"/>
                <w:b/>
                <w:bCs/>
                <w:color w:val="000000"/>
                <w:sz w:val="16"/>
                <w:szCs w:val="16"/>
              </w:rPr>
              <w:t>332,110</w:t>
            </w:r>
          </w:p>
        </w:tc>
        <w:tc>
          <w:tcPr>
            <w:tcW w:w="554" w:type="pct"/>
            <w:tcBorders>
              <w:top w:val="single" w:sz="4" w:space="0" w:color="293F5B"/>
              <w:left w:val="nil"/>
              <w:bottom w:val="single" w:sz="4" w:space="0" w:color="293F5B"/>
              <w:right w:val="nil"/>
            </w:tcBorders>
            <w:shd w:val="clear" w:color="000000" w:fill="FFFFFF"/>
            <w:vAlign w:val="bottom"/>
            <w:hideMark/>
          </w:tcPr>
          <w:p w14:paraId="1EB4E019" w14:textId="77777777" w:rsidR="002955D0" w:rsidRPr="002955D0" w:rsidRDefault="002955D0" w:rsidP="002955D0">
            <w:pPr>
              <w:spacing w:before="0" w:after="0" w:line="240" w:lineRule="auto"/>
              <w:jc w:val="right"/>
              <w:rPr>
                <w:rFonts w:ascii="Arial" w:hAnsi="Arial" w:cs="Arial"/>
                <w:b/>
                <w:bCs/>
                <w:color w:val="000000"/>
                <w:sz w:val="16"/>
                <w:szCs w:val="16"/>
              </w:rPr>
            </w:pPr>
            <w:r w:rsidRPr="002955D0">
              <w:rPr>
                <w:rFonts w:ascii="Arial" w:hAnsi="Arial" w:cs="Arial"/>
                <w:b/>
                <w:bCs/>
                <w:color w:val="000000"/>
                <w:sz w:val="16"/>
                <w:szCs w:val="16"/>
              </w:rPr>
              <w:t>340,558</w:t>
            </w:r>
          </w:p>
        </w:tc>
      </w:tr>
    </w:tbl>
    <w:p w14:paraId="5E8075B3" w14:textId="4F7D4162" w:rsidR="006C4D3B" w:rsidRDefault="006C4D3B" w:rsidP="006C4D3B">
      <w:pPr>
        <w:pStyle w:val="SingleParagraph"/>
      </w:pPr>
    </w:p>
    <w:bookmarkEnd w:id="15"/>
    <w:p w14:paraId="01303C1B" w14:textId="77777777" w:rsidR="006C4D3B" w:rsidRPr="001E6F2A" w:rsidRDefault="006C4D3B" w:rsidP="006C4D3B">
      <w:pPr>
        <w:pStyle w:val="Heading4"/>
      </w:pPr>
      <w:r w:rsidRPr="001E6F2A">
        <w:t>Other provisions and payables</w:t>
      </w:r>
    </w:p>
    <w:p w14:paraId="6E4C248A" w14:textId="116E0936" w:rsidR="00B55B42" w:rsidRPr="006C4D3B" w:rsidRDefault="006C4D3B" w:rsidP="006C4D3B">
      <w:r w:rsidRPr="000F49B9">
        <w:t xml:space="preserve">Other provisions and payables </w:t>
      </w:r>
      <w:proofErr w:type="gramStart"/>
      <w:r w:rsidRPr="000F49B9">
        <w:t>includes</w:t>
      </w:r>
      <w:proofErr w:type="gramEnd"/>
      <w:r w:rsidRPr="000F49B9">
        <w:t xml:space="preserve"> all other Government liabilities including lease liabilities, provisions for other employee entitlements such as leave, unpaid grants, subsidies, personal benefits, and payments to suppliers</w:t>
      </w:r>
      <w:r>
        <w:t>.</w:t>
      </w:r>
    </w:p>
    <w:sectPr w:rsidR="00B55B42" w:rsidRPr="006C4D3B" w:rsidSect="00A17574">
      <w:headerReference w:type="even" r:id="rId12"/>
      <w:headerReference w:type="default" r:id="rId13"/>
      <w:footerReference w:type="even" r:id="rId14"/>
      <w:footerReference w:type="default" r:id="rId15"/>
      <w:headerReference w:type="first" r:id="rId16"/>
      <w:footerReference w:type="first" r:id="rId17"/>
      <w:pgSz w:w="11906" w:h="16838" w:code="9"/>
      <w:pgMar w:top="2835" w:right="2098" w:bottom="2466" w:left="2098" w:header="1814" w:footer="1814" w:gutter="0"/>
      <w:pgNumType w:start="31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F95B9" w14:textId="77777777" w:rsidR="004D67BF" w:rsidRDefault="004D67BF" w:rsidP="00E40261">
      <w:pPr>
        <w:spacing w:after="0" w:line="240" w:lineRule="auto"/>
      </w:pPr>
      <w:r>
        <w:separator/>
      </w:r>
    </w:p>
  </w:endnote>
  <w:endnote w:type="continuationSeparator" w:id="0">
    <w:p w14:paraId="5D9718D9" w14:textId="77777777" w:rsidR="004D67BF" w:rsidRDefault="004D67BF" w:rsidP="00E40261">
      <w:pPr>
        <w:spacing w:after="0" w:line="240" w:lineRule="auto"/>
      </w:pPr>
      <w:r>
        <w:continuationSeparator/>
      </w:r>
    </w:p>
  </w:endnote>
  <w:endnote w:type="continuationNotice" w:id="1">
    <w:p w14:paraId="29063E1A" w14:textId="77777777" w:rsidR="004D67BF" w:rsidRDefault="004D67B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wiss 721 BT">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96F24" w14:textId="7DE8DDAB" w:rsidR="0007571E" w:rsidRDefault="0007571E"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081542">
      <w:t> | </w:t>
    </w:r>
    <w:fldSimple w:instr="SUBJECT   \* MERGEFORMAT">
      <w:r w:rsidR="00E473A3">
        <w:t>Statement 9: Australian Government Budget Financial Statements</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7019F" w14:textId="5FAEB200" w:rsidR="0007571E" w:rsidRDefault="00E473A3" w:rsidP="009F3CAB">
    <w:pPr>
      <w:pStyle w:val="FooterOdd"/>
    </w:pPr>
    <w:fldSimple w:instr="SUBJECT   \* MERGEFORMAT">
      <w:r>
        <w:t>Statement 9: Australian Government Budget Financial Statements</w:t>
      </w:r>
    </w:fldSimple>
    <w:r w:rsidR="0007571E" w:rsidRPr="00081542">
      <w:t> | </w:t>
    </w:r>
    <w:r w:rsidR="0007571E" w:rsidRPr="00B3705D">
      <w:rPr>
        <w:b/>
        <w:bCs/>
      </w:rPr>
      <w:t xml:space="preserve">Page </w:t>
    </w:r>
    <w:r w:rsidR="0007571E" w:rsidRPr="00B3705D">
      <w:rPr>
        <w:b/>
        <w:bCs/>
      </w:rPr>
      <w:fldChar w:fldCharType="begin"/>
    </w:r>
    <w:r w:rsidR="0007571E" w:rsidRPr="00B3705D">
      <w:rPr>
        <w:b/>
        <w:bCs/>
      </w:rPr>
      <w:instrText xml:space="preserve"> PAGE  \* Arabic  \* MERGEFORMAT </w:instrText>
    </w:r>
    <w:r w:rsidR="0007571E" w:rsidRPr="00B3705D">
      <w:rPr>
        <w:b/>
        <w:bCs/>
      </w:rPr>
      <w:fldChar w:fldCharType="separate"/>
    </w:r>
    <w:r w:rsidR="0007571E">
      <w:rPr>
        <w:b/>
        <w:bCs/>
      </w:rPr>
      <w:t>1</w:t>
    </w:r>
    <w:r w:rsidR="0007571E"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EF035" w14:textId="41E2FEC8" w:rsidR="0007571E" w:rsidRDefault="00E473A3" w:rsidP="00360947">
    <w:pPr>
      <w:pStyle w:val="FooterOdd"/>
    </w:pPr>
    <w:fldSimple w:instr="SUBJECT   \* MERGEFORMAT">
      <w:r>
        <w:t>Statement 9: Australian Government Budget Financial Statements</w:t>
      </w:r>
    </w:fldSimple>
    <w:r w:rsidR="0007571E" w:rsidRPr="00081542">
      <w:t> | </w:t>
    </w:r>
    <w:r w:rsidR="0007571E" w:rsidRPr="00B3705D">
      <w:rPr>
        <w:b/>
        <w:bCs/>
      </w:rPr>
      <w:t xml:space="preserve">Page </w:t>
    </w:r>
    <w:r w:rsidR="0007571E" w:rsidRPr="00B3705D">
      <w:rPr>
        <w:b/>
        <w:bCs/>
      </w:rPr>
      <w:fldChar w:fldCharType="begin"/>
    </w:r>
    <w:r w:rsidR="0007571E" w:rsidRPr="00B3705D">
      <w:rPr>
        <w:b/>
        <w:bCs/>
      </w:rPr>
      <w:instrText xml:space="preserve"> PAGE  \* Arabic  \* MERGEFORMAT </w:instrText>
    </w:r>
    <w:r w:rsidR="0007571E" w:rsidRPr="00B3705D">
      <w:rPr>
        <w:b/>
        <w:bCs/>
      </w:rPr>
      <w:fldChar w:fldCharType="separate"/>
    </w:r>
    <w:r w:rsidR="0007571E">
      <w:rPr>
        <w:b/>
        <w:bCs/>
      </w:rPr>
      <w:t>1</w:t>
    </w:r>
    <w:r w:rsidR="0007571E"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E4369" w14:textId="77777777" w:rsidR="004D67BF" w:rsidRPr="003C1CA4" w:rsidRDefault="004D67BF"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435526BE" w14:textId="77777777" w:rsidR="004D67BF" w:rsidRDefault="004D67BF" w:rsidP="00E40261">
      <w:pPr>
        <w:spacing w:after="0" w:line="240" w:lineRule="auto"/>
      </w:pPr>
      <w:r>
        <w:continuationSeparator/>
      </w:r>
    </w:p>
  </w:footnote>
  <w:footnote w:type="continuationNotice" w:id="1">
    <w:p w14:paraId="31EC1CF3" w14:textId="77777777" w:rsidR="004D67BF" w:rsidRDefault="004D67BF">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58FFA" w14:textId="53C35132" w:rsidR="0007571E" w:rsidRPr="00AA5439" w:rsidRDefault="0007571E"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7571E" w14:paraId="55C58458" w14:textId="77777777" w:rsidTr="00C7308C">
      <w:trPr>
        <w:trHeight w:hRule="exact" w:val="340"/>
      </w:trPr>
      <w:tc>
        <w:tcPr>
          <w:tcW w:w="7797" w:type="dxa"/>
        </w:tcPr>
        <w:p w14:paraId="27B13EDE" w14:textId="385843A5" w:rsidR="0007571E" w:rsidRPr="008C56E1" w:rsidRDefault="0007571E" w:rsidP="00F60EA1">
          <w:pPr>
            <w:pStyle w:val="HeaderEven"/>
          </w:pPr>
          <w:r w:rsidRPr="008C56E1">
            <w:rPr>
              <w:noProof/>
              <w:position w:val="-8"/>
            </w:rPr>
            <w:drawing>
              <wp:inline distT="0" distB="0" distL="0" distR="0" wp14:anchorId="236890DE" wp14:editId="5D70F834">
                <wp:extent cx="864091" cy="198000"/>
                <wp:effectExtent l="0" t="0" r="0" b="0"/>
                <wp:docPr id="974694567" name="Picture 9746945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694567" name="Picture 97469456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r w:rsidRPr="00081542">
            <w:t> | </w:t>
          </w:r>
          <w:fldSimple w:instr="TITLE   \* MERGEFORMAT">
            <w:r w:rsidR="00E473A3">
              <w:t>Budget Paper No. 1</w:t>
            </w:r>
          </w:fldSimple>
        </w:p>
      </w:tc>
    </w:tr>
  </w:tbl>
  <w:p w14:paraId="1572F891" w14:textId="77777777" w:rsidR="0007571E" w:rsidRPr="00AA5439" w:rsidRDefault="0007571E" w:rsidP="00AA5439">
    <w:pPr>
      <w:pStyle w:val="HeaderEven"/>
      <w:rPr>
        <w:sz w:val="2"/>
        <w:szCs w:val="4"/>
      </w:rPr>
    </w:pPr>
  </w:p>
  <w:p w14:paraId="76B688EC" w14:textId="5A021EEE" w:rsidR="0007571E" w:rsidRPr="007703C7" w:rsidRDefault="00CA6876" w:rsidP="007703C7">
    <w:pPr>
      <w:pStyle w:val="Header"/>
      <w:rPr>
        <w:sz w:val="2"/>
        <w:szCs w:val="2"/>
      </w:rPr>
    </w:pPr>
    <w:r>
      <w:rPr>
        <w:noProof/>
        <w:sz w:val="32"/>
        <w:szCs w:val="32"/>
      </w:rPr>
      <w:drawing>
        <wp:anchor distT="0" distB="0" distL="114300" distR="114300" simplePos="0" relativeHeight="251658243" behindDoc="1" locked="1" layoutInCell="1" allowOverlap="1" wp14:anchorId="2F861B66" wp14:editId="716EC042">
          <wp:simplePos x="0" y="0"/>
          <wp:positionH relativeFrom="page">
            <wp:align>center</wp:align>
          </wp:positionH>
          <wp:positionV relativeFrom="page">
            <wp:align>center</wp:align>
          </wp:positionV>
          <wp:extent cx="7560000" cy="10692000"/>
          <wp:effectExtent l="0" t="0" r="3175" b="0"/>
          <wp:wrapNone/>
          <wp:docPr id="181850689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506893"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7571E" w14:paraId="20BBC9BD" w14:textId="77777777" w:rsidTr="001051B9">
      <w:trPr>
        <w:trHeight w:hRule="exact" w:val="340"/>
      </w:trPr>
      <w:tc>
        <w:tcPr>
          <w:tcW w:w="7797" w:type="dxa"/>
          <w:tcMar>
            <w:left w:w="108" w:type="dxa"/>
            <w:right w:w="108" w:type="dxa"/>
          </w:tcMar>
        </w:tcPr>
        <w:p w14:paraId="1674FA87" w14:textId="6C86ED6F" w:rsidR="0007571E" w:rsidRPr="00D13BF9" w:rsidRDefault="00E473A3" w:rsidP="00D13BF9">
          <w:pPr>
            <w:pStyle w:val="HeaderOdd"/>
          </w:pPr>
          <w:fldSimple w:instr="TITLE   \* MERGEFORMAT">
            <w:r>
              <w:t>Budget Paper No. 1</w:t>
            </w:r>
          </w:fldSimple>
          <w:r w:rsidR="0007571E" w:rsidRPr="00081542">
            <w:t> | </w:t>
          </w:r>
          <w:r w:rsidR="0007571E" w:rsidRPr="002709D2">
            <w:rPr>
              <w:noProof/>
              <w:position w:val="-8"/>
              <w:vertAlign w:val="subscript"/>
            </w:rPr>
            <w:drawing>
              <wp:inline distT="0" distB="0" distL="0" distR="0" wp14:anchorId="4144F406" wp14:editId="51EECBCA">
                <wp:extent cx="864091" cy="198000"/>
                <wp:effectExtent l="0" t="0" r="0" b="0"/>
                <wp:docPr id="15371864" name="Picture 153718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1864" name="Picture 1537186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5F371014" w14:textId="6F385BDD" w:rsidR="0007571E" w:rsidRPr="00562EDC" w:rsidRDefault="00CA6876" w:rsidP="00562EDC">
    <w:pPr>
      <w:pStyle w:val="HeaderOdd"/>
      <w:jc w:val="left"/>
      <w:rPr>
        <w:sz w:val="2"/>
        <w:szCs w:val="4"/>
      </w:rPr>
    </w:pPr>
    <w:r>
      <w:rPr>
        <w:noProof/>
        <w:sz w:val="32"/>
        <w:szCs w:val="32"/>
      </w:rPr>
      <w:drawing>
        <wp:anchor distT="0" distB="0" distL="114300" distR="114300" simplePos="0" relativeHeight="251658240" behindDoc="1" locked="1" layoutInCell="1" allowOverlap="1" wp14:anchorId="602913DC" wp14:editId="5A2D3460">
          <wp:simplePos x="0" y="0"/>
          <wp:positionH relativeFrom="page">
            <wp:align>center</wp:align>
          </wp:positionH>
          <wp:positionV relativeFrom="page">
            <wp:align>center</wp:align>
          </wp:positionV>
          <wp:extent cx="7560000" cy="10692000"/>
          <wp:effectExtent l="0" t="0" r="3175" b="0"/>
          <wp:wrapNone/>
          <wp:docPr id="201003724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037247"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818DC" w14:textId="23D1691A" w:rsidR="0007571E" w:rsidRDefault="0007571E">
    <w:pPr>
      <w:pStyle w:val="Header"/>
      <w:rPr>
        <w:sz w:val="2"/>
        <w:szCs w:val="2"/>
      </w:rPr>
    </w:pPr>
  </w:p>
  <w:p w14:paraId="2C6E7934" w14:textId="77777777" w:rsidR="0007571E" w:rsidRDefault="0007571E">
    <w:pPr>
      <w:pStyle w:val="Header"/>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7571E" w14:paraId="39074425" w14:textId="77777777" w:rsidTr="001051B9">
      <w:trPr>
        <w:trHeight w:hRule="exact" w:val="340"/>
      </w:trPr>
      <w:tc>
        <w:tcPr>
          <w:tcW w:w="7797" w:type="dxa"/>
          <w:tcMar>
            <w:left w:w="108" w:type="dxa"/>
            <w:right w:w="108" w:type="dxa"/>
          </w:tcMar>
        </w:tcPr>
        <w:p w14:paraId="252C8C18" w14:textId="429E12DE" w:rsidR="0007571E" w:rsidRPr="00D13BF9" w:rsidRDefault="00E473A3" w:rsidP="00D13BF9">
          <w:pPr>
            <w:pStyle w:val="HeaderOdd"/>
          </w:pPr>
          <w:fldSimple w:instr="TITLE   \* MERGEFORMAT">
            <w:r>
              <w:t>Budget Paper No. 1</w:t>
            </w:r>
          </w:fldSimple>
          <w:r w:rsidR="0007571E" w:rsidRPr="00081542">
            <w:t> | </w:t>
          </w:r>
          <w:r w:rsidR="0007571E" w:rsidRPr="002709D2">
            <w:rPr>
              <w:noProof/>
              <w:position w:val="-8"/>
              <w:vertAlign w:val="subscript"/>
            </w:rPr>
            <w:drawing>
              <wp:inline distT="0" distB="0" distL="0" distR="0" wp14:anchorId="1223F611" wp14:editId="510CE99C">
                <wp:extent cx="864091" cy="198000"/>
                <wp:effectExtent l="0" t="0" r="0" b="0"/>
                <wp:docPr id="911287578" name="Picture 9112875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287578" name="Picture 91128757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66CE0798" w14:textId="20580EFB" w:rsidR="0007571E" w:rsidRPr="005B2F30" w:rsidRDefault="00CA6876">
    <w:pPr>
      <w:pStyle w:val="Header"/>
      <w:rPr>
        <w:sz w:val="2"/>
        <w:szCs w:val="2"/>
      </w:rPr>
    </w:pPr>
    <w:r>
      <w:rPr>
        <w:noProof/>
        <w:sz w:val="32"/>
        <w:szCs w:val="32"/>
      </w:rPr>
      <w:drawing>
        <wp:anchor distT="0" distB="0" distL="114300" distR="114300" simplePos="0" relativeHeight="251658242" behindDoc="1" locked="1" layoutInCell="1" allowOverlap="1" wp14:anchorId="665BE3D1" wp14:editId="133F21EB">
          <wp:simplePos x="1336431" y="1397977"/>
          <wp:positionH relativeFrom="page">
            <wp:align>center</wp:align>
          </wp:positionH>
          <wp:positionV relativeFrom="page">
            <wp:align>center</wp:align>
          </wp:positionV>
          <wp:extent cx="7560000" cy="10692000"/>
          <wp:effectExtent l="0" t="0" r="3175" b="0"/>
          <wp:wrapNone/>
          <wp:docPr id="26527713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277138"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F56B3F"/>
    <w:multiLevelType w:val="hybridMultilevel"/>
    <w:tmpl w:val="1ABE5364"/>
    <w:lvl w:ilvl="0" w:tplc="0C090001">
      <w:start w:val="1"/>
      <w:numFmt w:val="bullet"/>
      <w:lvlText w:val=""/>
      <w:lvlJc w:val="left"/>
      <w:pPr>
        <w:ind w:left="764" w:hanging="360"/>
      </w:pPr>
      <w:rPr>
        <w:rFonts w:ascii="Symbol" w:hAnsi="Symbol" w:hint="default"/>
      </w:rPr>
    </w:lvl>
    <w:lvl w:ilvl="1" w:tplc="0C090003" w:tentative="1">
      <w:start w:val="1"/>
      <w:numFmt w:val="bullet"/>
      <w:lvlText w:val="o"/>
      <w:lvlJc w:val="left"/>
      <w:pPr>
        <w:ind w:left="1484" w:hanging="360"/>
      </w:pPr>
      <w:rPr>
        <w:rFonts w:ascii="Courier New" w:hAnsi="Courier New" w:cs="Courier New" w:hint="default"/>
      </w:rPr>
    </w:lvl>
    <w:lvl w:ilvl="2" w:tplc="0C090005" w:tentative="1">
      <w:start w:val="1"/>
      <w:numFmt w:val="bullet"/>
      <w:lvlText w:val=""/>
      <w:lvlJc w:val="left"/>
      <w:pPr>
        <w:ind w:left="2204" w:hanging="360"/>
      </w:pPr>
      <w:rPr>
        <w:rFonts w:ascii="Wingdings" w:hAnsi="Wingdings" w:hint="default"/>
      </w:rPr>
    </w:lvl>
    <w:lvl w:ilvl="3" w:tplc="0C090001" w:tentative="1">
      <w:start w:val="1"/>
      <w:numFmt w:val="bullet"/>
      <w:lvlText w:val=""/>
      <w:lvlJc w:val="left"/>
      <w:pPr>
        <w:ind w:left="2924" w:hanging="360"/>
      </w:pPr>
      <w:rPr>
        <w:rFonts w:ascii="Symbol" w:hAnsi="Symbol" w:hint="default"/>
      </w:rPr>
    </w:lvl>
    <w:lvl w:ilvl="4" w:tplc="0C090003" w:tentative="1">
      <w:start w:val="1"/>
      <w:numFmt w:val="bullet"/>
      <w:lvlText w:val="o"/>
      <w:lvlJc w:val="left"/>
      <w:pPr>
        <w:ind w:left="3644" w:hanging="360"/>
      </w:pPr>
      <w:rPr>
        <w:rFonts w:ascii="Courier New" w:hAnsi="Courier New" w:cs="Courier New" w:hint="default"/>
      </w:rPr>
    </w:lvl>
    <w:lvl w:ilvl="5" w:tplc="0C090005" w:tentative="1">
      <w:start w:val="1"/>
      <w:numFmt w:val="bullet"/>
      <w:lvlText w:val=""/>
      <w:lvlJc w:val="left"/>
      <w:pPr>
        <w:ind w:left="4364" w:hanging="360"/>
      </w:pPr>
      <w:rPr>
        <w:rFonts w:ascii="Wingdings" w:hAnsi="Wingdings" w:hint="default"/>
      </w:rPr>
    </w:lvl>
    <w:lvl w:ilvl="6" w:tplc="0C090001" w:tentative="1">
      <w:start w:val="1"/>
      <w:numFmt w:val="bullet"/>
      <w:lvlText w:val=""/>
      <w:lvlJc w:val="left"/>
      <w:pPr>
        <w:ind w:left="5084" w:hanging="360"/>
      </w:pPr>
      <w:rPr>
        <w:rFonts w:ascii="Symbol" w:hAnsi="Symbol" w:hint="default"/>
      </w:rPr>
    </w:lvl>
    <w:lvl w:ilvl="7" w:tplc="0C090003" w:tentative="1">
      <w:start w:val="1"/>
      <w:numFmt w:val="bullet"/>
      <w:lvlText w:val="o"/>
      <w:lvlJc w:val="left"/>
      <w:pPr>
        <w:ind w:left="5804" w:hanging="360"/>
      </w:pPr>
      <w:rPr>
        <w:rFonts w:ascii="Courier New" w:hAnsi="Courier New" w:cs="Courier New" w:hint="default"/>
      </w:rPr>
    </w:lvl>
    <w:lvl w:ilvl="8" w:tplc="0C090005" w:tentative="1">
      <w:start w:val="1"/>
      <w:numFmt w:val="bullet"/>
      <w:lvlText w:val=""/>
      <w:lvlJc w:val="left"/>
      <w:pPr>
        <w:ind w:left="6524" w:hanging="360"/>
      </w:pPr>
      <w:rPr>
        <w:rFonts w:ascii="Wingdings" w:hAnsi="Wingdings" w:hint="default"/>
      </w:rPr>
    </w:lvl>
  </w:abstractNum>
  <w:abstractNum w:abstractNumId="11"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2"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3"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4"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5" w15:restartNumberingAfterBreak="0">
    <w:nsid w:val="441170B1"/>
    <w:multiLevelType w:val="hybridMultilevel"/>
    <w:tmpl w:val="23086D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FAA4416"/>
    <w:multiLevelType w:val="multilevel"/>
    <w:tmpl w:val="D2300CFC"/>
    <w:lvl w:ilvl="0">
      <w:start w:val="1"/>
      <w:numFmt w:val="decimal"/>
      <w:pStyle w:val="OutlineNumbered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8" w15:restartNumberingAfterBreak="0">
    <w:nsid w:val="74553C6C"/>
    <w:multiLevelType w:val="multilevel"/>
    <w:tmpl w:val="EF5ADE80"/>
    <w:name w:val="StandardNumberedList"/>
    <w:lvl w:ilvl="0">
      <w:start w:val="1"/>
      <w:numFmt w:val="decimal"/>
      <w:lvlText w:val="%1."/>
      <w:lvlJc w:val="left"/>
      <w:pPr>
        <w:tabs>
          <w:tab w:val="num" w:pos="449"/>
        </w:tabs>
        <w:ind w:left="449" w:hanging="449"/>
      </w:pPr>
    </w:lvl>
    <w:lvl w:ilvl="1">
      <w:start w:val="1"/>
      <w:numFmt w:val="decimal"/>
      <w:pStyle w:val="OutlineNumbered2"/>
      <w:lvlText w:val="%1.%2."/>
      <w:lvlJc w:val="left"/>
      <w:pPr>
        <w:tabs>
          <w:tab w:val="num" w:pos="898"/>
        </w:tabs>
        <w:ind w:left="898" w:hanging="449"/>
      </w:pPr>
    </w:lvl>
    <w:lvl w:ilvl="2">
      <w:start w:val="1"/>
      <w:numFmt w:val="decimal"/>
      <w:pStyle w:val="OutlineNumbered3"/>
      <w:lvlText w:val="%1.%2.%3."/>
      <w:lvlJc w:val="left"/>
      <w:pPr>
        <w:tabs>
          <w:tab w:val="num" w:pos="1347"/>
        </w:tabs>
        <w:ind w:left="1347" w:hanging="449"/>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03410866">
    <w:abstractNumId w:val="14"/>
  </w:num>
  <w:num w:numId="2" w16cid:durableId="70975900">
    <w:abstractNumId w:val="12"/>
  </w:num>
  <w:num w:numId="3" w16cid:durableId="1903564601">
    <w:abstractNumId w:val="11"/>
  </w:num>
  <w:num w:numId="4" w16cid:durableId="778522229">
    <w:abstractNumId w:val="13"/>
  </w:num>
  <w:num w:numId="5" w16cid:durableId="308556280">
    <w:abstractNumId w:val="17"/>
  </w:num>
  <w:num w:numId="6" w16cid:durableId="772752326">
    <w:abstractNumId w:val="11"/>
  </w:num>
  <w:num w:numId="7" w16cid:durableId="541596858">
    <w:abstractNumId w:val="11"/>
  </w:num>
  <w:num w:numId="8" w16cid:durableId="322590933">
    <w:abstractNumId w:val="9"/>
  </w:num>
  <w:num w:numId="9" w16cid:durableId="1723669811">
    <w:abstractNumId w:val="7"/>
  </w:num>
  <w:num w:numId="10" w16cid:durableId="235865475">
    <w:abstractNumId w:val="6"/>
  </w:num>
  <w:num w:numId="11" w16cid:durableId="1066297075">
    <w:abstractNumId w:val="5"/>
  </w:num>
  <w:num w:numId="12" w16cid:durableId="10422456">
    <w:abstractNumId w:val="4"/>
  </w:num>
  <w:num w:numId="13" w16cid:durableId="4594083">
    <w:abstractNumId w:val="8"/>
  </w:num>
  <w:num w:numId="14" w16cid:durableId="961616114">
    <w:abstractNumId w:val="3"/>
  </w:num>
  <w:num w:numId="15" w16cid:durableId="760225057">
    <w:abstractNumId w:val="2"/>
  </w:num>
  <w:num w:numId="16" w16cid:durableId="1531915683">
    <w:abstractNumId w:val="1"/>
  </w:num>
  <w:num w:numId="17" w16cid:durableId="288900107">
    <w:abstractNumId w:val="0"/>
  </w:num>
  <w:num w:numId="18" w16cid:durableId="131681990">
    <w:abstractNumId w:val="13"/>
  </w:num>
  <w:num w:numId="19" w16cid:durableId="5211629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44135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7239319">
    <w:abstractNumId w:val="18"/>
  </w:num>
  <w:num w:numId="22" w16cid:durableId="1518692781">
    <w:abstractNumId w:val="16"/>
  </w:num>
  <w:num w:numId="23" w16cid:durableId="700714484">
    <w:abstractNumId w:val="10"/>
  </w:num>
  <w:num w:numId="24" w16cid:durableId="70367786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0"/>
  <w:defaultTabStop w:val="720"/>
  <w:evenAndOddHeaders/>
  <w:characterSpacingControl w:val="doNotCompress"/>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6C4D3B"/>
    <w:rsid w:val="000004EA"/>
    <w:rsid w:val="0000070D"/>
    <w:rsid w:val="00003576"/>
    <w:rsid w:val="00004189"/>
    <w:rsid w:val="000042D3"/>
    <w:rsid w:val="0000560A"/>
    <w:rsid w:val="00006BE3"/>
    <w:rsid w:val="0001041B"/>
    <w:rsid w:val="00011DBB"/>
    <w:rsid w:val="00011FC3"/>
    <w:rsid w:val="000120E5"/>
    <w:rsid w:val="00013854"/>
    <w:rsid w:val="00013EA8"/>
    <w:rsid w:val="00016956"/>
    <w:rsid w:val="00016AA0"/>
    <w:rsid w:val="00017F5F"/>
    <w:rsid w:val="000221CD"/>
    <w:rsid w:val="00022B93"/>
    <w:rsid w:val="00022FF1"/>
    <w:rsid w:val="000235EE"/>
    <w:rsid w:val="00023C25"/>
    <w:rsid w:val="00024019"/>
    <w:rsid w:val="000245DE"/>
    <w:rsid w:val="00024BA4"/>
    <w:rsid w:val="00024D30"/>
    <w:rsid w:val="00024E8D"/>
    <w:rsid w:val="0002608A"/>
    <w:rsid w:val="000303B9"/>
    <w:rsid w:val="0003043E"/>
    <w:rsid w:val="0003077F"/>
    <w:rsid w:val="00030941"/>
    <w:rsid w:val="00031329"/>
    <w:rsid w:val="000322C7"/>
    <w:rsid w:val="00032E7E"/>
    <w:rsid w:val="000331C6"/>
    <w:rsid w:val="00034D64"/>
    <w:rsid w:val="00035D8D"/>
    <w:rsid w:val="000366F9"/>
    <w:rsid w:val="0003786C"/>
    <w:rsid w:val="00037A21"/>
    <w:rsid w:val="0004013D"/>
    <w:rsid w:val="000408F3"/>
    <w:rsid w:val="00040CE1"/>
    <w:rsid w:val="00040F93"/>
    <w:rsid w:val="00041741"/>
    <w:rsid w:val="000425AB"/>
    <w:rsid w:val="00042E4C"/>
    <w:rsid w:val="00042ECF"/>
    <w:rsid w:val="00043C37"/>
    <w:rsid w:val="00043E3F"/>
    <w:rsid w:val="000449C9"/>
    <w:rsid w:val="0004500B"/>
    <w:rsid w:val="00045EE1"/>
    <w:rsid w:val="00046028"/>
    <w:rsid w:val="00046385"/>
    <w:rsid w:val="000466E5"/>
    <w:rsid w:val="00047334"/>
    <w:rsid w:val="000502E2"/>
    <w:rsid w:val="0005034F"/>
    <w:rsid w:val="00050A92"/>
    <w:rsid w:val="000523B2"/>
    <w:rsid w:val="0005269F"/>
    <w:rsid w:val="00052F15"/>
    <w:rsid w:val="00053362"/>
    <w:rsid w:val="00053CCA"/>
    <w:rsid w:val="000546EB"/>
    <w:rsid w:val="00054945"/>
    <w:rsid w:val="00054E71"/>
    <w:rsid w:val="00055831"/>
    <w:rsid w:val="00055C16"/>
    <w:rsid w:val="00056174"/>
    <w:rsid w:val="00060EC3"/>
    <w:rsid w:val="00061745"/>
    <w:rsid w:val="00062060"/>
    <w:rsid w:val="000622DA"/>
    <w:rsid w:val="0006264E"/>
    <w:rsid w:val="00062DD3"/>
    <w:rsid w:val="00062F07"/>
    <w:rsid w:val="000635BE"/>
    <w:rsid w:val="000638C9"/>
    <w:rsid w:val="00064993"/>
    <w:rsid w:val="0006571B"/>
    <w:rsid w:val="000657BA"/>
    <w:rsid w:val="00066152"/>
    <w:rsid w:val="000663D4"/>
    <w:rsid w:val="000668E2"/>
    <w:rsid w:val="000708A1"/>
    <w:rsid w:val="00070CCE"/>
    <w:rsid w:val="00071277"/>
    <w:rsid w:val="00071BFE"/>
    <w:rsid w:val="00071C02"/>
    <w:rsid w:val="0007337B"/>
    <w:rsid w:val="00073511"/>
    <w:rsid w:val="0007391F"/>
    <w:rsid w:val="000746E7"/>
    <w:rsid w:val="00074749"/>
    <w:rsid w:val="00074BF0"/>
    <w:rsid w:val="00074CBB"/>
    <w:rsid w:val="00074F72"/>
    <w:rsid w:val="0007571E"/>
    <w:rsid w:val="00075A41"/>
    <w:rsid w:val="00075A88"/>
    <w:rsid w:val="00075BC4"/>
    <w:rsid w:val="0007630A"/>
    <w:rsid w:val="000764FB"/>
    <w:rsid w:val="000803A6"/>
    <w:rsid w:val="000807A7"/>
    <w:rsid w:val="00081542"/>
    <w:rsid w:val="00082A2A"/>
    <w:rsid w:val="0008399A"/>
    <w:rsid w:val="0008513E"/>
    <w:rsid w:val="000853ED"/>
    <w:rsid w:val="0008597F"/>
    <w:rsid w:val="000867B0"/>
    <w:rsid w:val="00087158"/>
    <w:rsid w:val="000876D3"/>
    <w:rsid w:val="00090721"/>
    <w:rsid w:val="0009079B"/>
    <w:rsid w:val="00090A7B"/>
    <w:rsid w:val="00090B81"/>
    <w:rsid w:val="000932AA"/>
    <w:rsid w:val="00093B4C"/>
    <w:rsid w:val="00093B56"/>
    <w:rsid w:val="00093D5A"/>
    <w:rsid w:val="00093E0F"/>
    <w:rsid w:val="00095C14"/>
    <w:rsid w:val="00096B9F"/>
    <w:rsid w:val="0009760F"/>
    <w:rsid w:val="00097D9E"/>
    <w:rsid w:val="000A0CF8"/>
    <w:rsid w:val="000A173C"/>
    <w:rsid w:val="000A1926"/>
    <w:rsid w:val="000A197E"/>
    <w:rsid w:val="000A3382"/>
    <w:rsid w:val="000A34A3"/>
    <w:rsid w:val="000A3AD8"/>
    <w:rsid w:val="000A4760"/>
    <w:rsid w:val="000A4AE7"/>
    <w:rsid w:val="000A4F15"/>
    <w:rsid w:val="000A57B3"/>
    <w:rsid w:val="000A5860"/>
    <w:rsid w:val="000A68C3"/>
    <w:rsid w:val="000A6F60"/>
    <w:rsid w:val="000A7017"/>
    <w:rsid w:val="000A738C"/>
    <w:rsid w:val="000A7882"/>
    <w:rsid w:val="000B0587"/>
    <w:rsid w:val="000B0E86"/>
    <w:rsid w:val="000B0E8D"/>
    <w:rsid w:val="000B2A52"/>
    <w:rsid w:val="000B2C4C"/>
    <w:rsid w:val="000B3647"/>
    <w:rsid w:val="000B38A8"/>
    <w:rsid w:val="000B44B0"/>
    <w:rsid w:val="000B44B2"/>
    <w:rsid w:val="000B4DDC"/>
    <w:rsid w:val="000B6254"/>
    <w:rsid w:val="000B6E69"/>
    <w:rsid w:val="000B6FC9"/>
    <w:rsid w:val="000B705C"/>
    <w:rsid w:val="000B70A3"/>
    <w:rsid w:val="000B7130"/>
    <w:rsid w:val="000B72E2"/>
    <w:rsid w:val="000C0038"/>
    <w:rsid w:val="000C038C"/>
    <w:rsid w:val="000C0AD8"/>
    <w:rsid w:val="000C10E4"/>
    <w:rsid w:val="000C1790"/>
    <w:rsid w:val="000C25B2"/>
    <w:rsid w:val="000C25CF"/>
    <w:rsid w:val="000C2EA2"/>
    <w:rsid w:val="000C3484"/>
    <w:rsid w:val="000C3E96"/>
    <w:rsid w:val="000C4608"/>
    <w:rsid w:val="000C60C2"/>
    <w:rsid w:val="000C64F9"/>
    <w:rsid w:val="000C6537"/>
    <w:rsid w:val="000C6862"/>
    <w:rsid w:val="000C74A7"/>
    <w:rsid w:val="000D1053"/>
    <w:rsid w:val="000D18C2"/>
    <w:rsid w:val="000D1B38"/>
    <w:rsid w:val="000D3DFF"/>
    <w:rsid w:val="000D52DF"/>
    <w:rsid w:val="000D5E09"/>
    <w:rsid w:val="000D78F4"/>
    <w:rsid w:val="000D7B59"/>
    <w:rsid w:val="000D7DF1"/>
    <w:rsid w:val="000E04DA"/>
    <w:rsid w:val="000E105B"/>
    <w:rsid w:val="000E149B"/>
    <w:rsid w:val="000E1AC1"/>
    <w:rsid w:val="000E1F13"/>
    <w:rsid w:val="000E24C4"/>
    <w:rsid w:val="000E3E3F"/>
    <w:rsid w:val="000E4FF3"/>
    <w:rsid w:val="000E52E1"/>
    <w:rsid w:val="000E7519"/>
    <w:rsid w:val="000E7E1A"/>
    <w:rsid w:val="000F134E"/>
    <w:rsid w:val="000F1C86"/>
    <w:rsid w:val="000F2EAB"/>
    <w:rsid w:val="000F311A"/>
    <w:rsid w:val="000F3606"/>
    <w:rsid w:val="000F3C7B"/>
    <w:rsid w:val="000F3D98"/>
    <w:rsid w:val="000F4202"/>
    <w:rsid w:val="000F4B5E"/>
    <w:rsid w:val="000F59FA"/>
    <w:rsid w:val="000F637C"/>
    <w:rsid w:val="000F679B"/>
    <w:rsid w:val="000F6E4B"/>
    <w:rsid w:val="000F7F6E"/>
    <w:rsid w:val="0010008A"/>
    <w:rsid w:val="00101837"/>
    <w:rsid w:val="00103F65"/>
    <w:rsid w:val="001051B9"/>
    <w:rsid w:val="0010590D"/>
    <w:rsid w:val="00105BAA"/>
    <w:rsid w:val="00110DBC"/>
    <w:rsid w:val="0011175D"/>
    <w:rsid w:val="001120B0"/>
    <w:rsid w:val="001124A9"/>
    <w:rsid w:val="0011349E"/>
    <w:rsid w:val="00114DCB"/>
    <w:rsid w:val="001156DE"/>
    <w:rsid w:val="001160BB"/>
    <w:rsid w:val="001161BB"/>
    <w:rsid w:val="00116FC7"/>
    <w:rsid w:val="00117840"/>
    <w:rsid w:val="00117B5F"/>
    <w:rsid w:val="00120201"/>
    <w:rsid w:val="00120560"/>
    <w:rsid w:val="00120657"/>
    <w:rsid w:val="0012186C"/>
    <w:rsid w:val="00122713"/>
    <w:rsid w:val="00122FF3"/>
    <w:rsid w:val="0012363D"/>
    <w:rsid w:val="00123885"/>
    <w:rsid w:val="00125114"/>
    <w:rsid w:val="001256A1"/>
    <w:rsid w:val="00125A5A"/>
    <w:rsid w:val="00125C56"/>
    <w:rsid w:val="001268A5"/>
    <w:rsid w:val="001300F1"/>
    <w:rsid w:val="00130BA1"/>
    <w:rsid w:val="00132FEA"/>
    <w:rsid w:val="0013544B"/>
    <w:rsid w:val="001354F7"/>
    <w:rsid w:val="00135A5E"/>
    <w:rsid w:val="00135B5C"/>
    <w:rsid w:val="0013780F"/>
    <w:rsid w:val="00137D10"/>
    <w:rsid w:val="00140619"/>
    <w:rsid w:val="00140D2A"/>
    <w:rsid w:val="00140DD0"/>
    <w:rsid w:val="001418BE"/>
    <w:rsid w:val="001420F2"/>
    <w:rsid w:val="00142BD4"/>
    <w:rsid w:val="001436AB"/>
    <w:rsid w:val="001436D0"/>
    <w:rsid w:val="00144326"/>
    <w:rsid w:val="00144ECB"/>
    <w:rsid w:val="001472CA"/>
    <w:rsid w:val="00147DBC"/>
    <w:rsid w:val="00150041"/>
    <w:rsid w:val="001505C1"/>
    <w:rsid w:val="001510AB"/>
    <w:rsid w:val="001517ED"/>
    <w:rsid w:val="00151CBF"/>
    <w:rsid w:val="00152836"/>
    <w:rsid w:val="001528CA"/>
    <w:rsid w:val="00152B88"/>
    <w:rsid w:val="00154A6B"/>
    <w:rsid w:val="00155DCA"/>
    <w:rsid w:val="0015770D"/>
    <w:rsid w:val="00157F59"/>
    <w:rsid w:val="0016052A"/>
    <w:rsid w:val="00160928"/>
    <w:rsid w:val="00162985"/>
    <w:rsid w:val="00162CED"/>
    <w:rsid w:val="00162E42"/>
    <w:rsid w:val="0016369B"/>
    <w:rsid w:val="001636EA"/>
    <w:rsid w:val="00163AAC"/>
    <w:rsid w:val="00164AFE"/>
    <w:rsid w:val="00164F56"/>
    <w:rsid w:val="001654E8"/>
    <w:rsid w:val="00165764"/>
    <w:rsid w:val="00167993"/>
    <w:rsid w:val="00167DF4"/>
    <w:rsid w:val="00167DF9"/>
    <w:rsid w:val="001724B1"/>
    <w:rsid w:val="00172CFE"/>
    <w:rsid w:val="00173698"/>
    <w:rsid w:val="0017411B"/>
    <w:rsid w:val="00175D58"/>
    <w:rsid w:val="00175F56"/>
    <w:rsid w:val="001761EE"/>
    <w:rsid w:val="00176548"/>
    <w:rsid w:val="001765F4"/>
    <w:rsid w:val="00176CF6"/>
    <w:rsid w:val="00177E4D"/>
    <w:rsid w:val="001807D2"/>
    <w:rsid w:val="001808CE"/>
    <w:rsid w:val="00180D71"/>
    <w:rsid w:val="001810B5"/>
    <w:rsid w:val="001810D2"/>
    <w:rsid w:val="00181111"/>
    <w:rsid w:val="00181C6D"/>
    <w:rsid w:val="0018243A"/>
    <w:rsid w:val="00182D4F"/>
    <w:rsid w:val="00182D70"/>
    <w:rsid w:val="00183573"/>
    <w:rsid w:val="00183B9B"/>
    <w:rsid w:val="00183C44"/>
    <w:rsid w:val="00184995"/>
    <w:rsid w:val="00184EC7"/>
    <w:rsid w:val="00185C23"/>
    <w:rsid w:val="00186C3E"/>
    <w:rsid w:val="001901CB"/>
    <w:rsid w:val="00190538"/>
    <w:rsid w:val="001908BA"/>
    <w:rsid w:val="0019115B"/>
    <w:rsid w:val="001916E6"/>
    <w:rsid w:val="001924BC"/>
    <w:rsid w:val="001924F0"/>
    <w:rsid w:val="0019278C"/>
    <w:rsid w:val="00192962"/>
    <w:rsid w:val="00192A11"/>
    <w:rsid w:val="00192D3A"/>
    <w:rsid w:val="0019494D"/>
    <w:rsid w:val="00195042"/>
    <w:rsid w:val="001952FF"/>
    <w:rsid w:val="00195306"/>
    <w:rsid w:val="00196E4D"/>
    <w:rsid w:val="001970E6"/>
    <w:rsid w:val="0019766F"/>
    <w:rsid w:val="0019770B"/>
    <w:rsid w:val="001A1E8E"/>
    <w:rsid w:val="001A4977"/>
    <w:rsid w:val="001A4F3A"/>
    <w:rsid w:val="001A55DF"/>
    <w:rsid w:val="001A5A92"/>
    <w:rsid w:val="001A5C4B"/>
    <w:rsid w:val="001A5D5B"/>
    <w:rsid w:val="001A7712"/>
    <w:rsid w:val="001B0248"/>
    <w:rsid w:val="001B07CC"/>
    <w:rsid w:val="001B2A93"/>
    <w:rsid w:val="001B3722"/>
    <w:rsid w:val="001B4CBA"/>
    <w:rsid w:val="001B6651"/>
    <w:rsid w:val="001B7232"/>
    <w:rsid w:val="001B79A6"/>
    <w:rsid w:val="001C069A"/>
    <w:rsid w:val="001C0AE3"/>
    <w:rsid w:val="001C17A0"/>
    <w:rsid w:val="001C1E5B"/>
    <w:rsid w:val="001C22F6"/>
    <w:rsid w:val="001C2757"/>
    <w:rsid w:val="001C29BA"/>
    <w:rsid w:val="001C2BB3"/>
    <w:rsid w:val="001C2E6E"/>
    <w:rsid w:val="001C3B4C"/>
    <w:rsid w:val="001C4325"/>
    <w:rsid w:val="001C5D37"/>
    <w:rsid w:val="001C5E21"/>
    <w:rsid w:val="001C5F93"/>
    <w:rsid w:val="001C5FDA"/>
    <w:rsid w:val="001C6021"/>
    <w:rsid w:val="001C6A45"/>
    <w:rsid w:val="001C7332"/>
    <w:rsid w:val="001C7F5E"/>
    <w:rsid w:val="001D0D40"/>
    <w:rsid w:val="001D1E51"/>
    <w:rsid w:val="001D3210"/>
    <w:rsid w:val="001D33D6"/>
    <w:rsid w:val="001D3CED"/>
    <w:rsid w:val="001D4F20"/>
    <w:rsid w:val="001D50AA"/>
    <w:rsid w:val="001D5A5B"/>
    <w:rsid w:val="001D5F8B"/>
    <w:rsid w:val="001D63FB"/>
    <w:rsid w:val="001D664D"/>
    <w:rsid w:val="001D6675"/>
    <w:rsid w:val="001D7C4C"/>
    <w:rsid w:val="001D7F0D"/>
    <w:rsid w:val="001E065D"/>
    <w:rsid w:val="001E0F46"/>
    <w:rsid w:val="001E24F0"/>
    <w:rsid w:val="001E31A6"/>
    <w:rsid w:val="001E3B18"/>
    <w:rsid w:val="001E430E"/>
    <w:rsid w:val="001E5661"/>
    <w:rsid w:val="001E59C1"/>
    <w:rsid w:val="001E5DEE"/>
    <w:rsid w:val="001E6FD3"/>
    <w:rsid w:val="001E7446"/>
    <w:rsid w:val="001E764B"/>
    <w:rsid w:val="001F01EA"/>
    <w:rsid w:val="001F08E1"/>
    <w:rsid w:val="001F0A52"/>
    <w:rsid w:val="001F14BE"/>
    <w:rsid w:val="001F2405"/>
    <w:rsid w:val="001F2C80"/>
    <w:rsid w:val="001F2FE7"/>
    <w:rsid w:val="001F3FA8"/>
    <w:rsid w:val="001F409C"/>
    <w:rsid w:val="001F5400"/>
    <w:rsid w:val="001F5A08"/>
    <w:rsid w:val="001F5AE5"/>
    <w:rsid w:val="001F5D53"/>
    <w:rsid w:val="001F6250"/>
    <w:rsid w:val="001F7377"/>
    <w:rsid w:val="001F75BC"/>
    <w:rsid w:val="001F7E14"/>
    <w:rsid w:val="002002A4"/>
    <w:rsid w:val="00200947"/>
    <w:rsid w:val="00203673"/>
    <w:rsid w:val="0020396A"/>
    <w:rsid w:val="00203E13"/>
    <w:rsid w:val="0020415C"/>
    <w:rsid w:val="002041A1"/>
    <w:rsid w:val="00204DFE"/>
    <w:rsid w:val="00206A05"/>
    <w:rsid w:val="00206FF1"/>
    <w:rsid w:val="0020736B"/>
    <w:rsid w:val="002079FD"/>
    <w:rsid w:val="00207A55"/>
    <w:rsid w:val="00210B48"/>
    <w:rsid w:val="00211186"/>
    <w:rsid w:val="00212BA0"/>
    <w:rsid w:val="00214E01"/>
    <w:rsid w:val="00214EA9"/>
    <w:rsid w:val="00216B9F"/>
    <w:rsid w:val="002174DF"/>
    <w:rsid w:val="00217757"/>
    <w:rsid w:val="00217E8D"/>
    <w:rsid w:val="00220AE0"/>
    <w:rsid w:val="0022116A"/>
    <w:rsid w:val="00224857"/>
    <w:rsid w:val="00225B1F"/>
    <w:rsid w:val="00225FF2"/>
    <w:rsid w:val="0022640E"/>
    <w:rsid w:val="00227F31"/>
    <w:rsid w:val="002308EB"/>
    <w:rsid w:val="00230E0A"/>
    <w:rsid w:val="00234241"/>
    <w:rsid w:val="0023471A"/>
    <w:rsid w:val="002351AB"/>
    <w:rsid w:val="0023558D"/>
    <w:rsid w:val="0023634D"/>
    <w:rsid w:val="00237F04"/>
    <w:rsid w:val="002407C8"/>
    <w:rsid w:val="002414A1"/>
    <w:rsid w:val="00242462"/>
    <w:rsid w:val="00242479"/>
    <w:rsid w:val="00242C95"/>
    <w:rsid w:val="00243C9F"/>
    <w:rsid w:val="0024417F"/>
    <w:rsid w:val="00244791"/>
    <w:rsid w:val="00245119"/>
    <w:rsid w:val="0024521A"/>
    <w:rsid w:val="002453C0"/>
    <w:rsid w:val="002460DA"/>
    <w:rsid w:val="0024616B"/>
    <w:rsid w:val="002466CB"/>
    <w:rsid w:val="00246A89"/>
    <w:rsid w:val="00246C83"/>
    <w:rsid w:val="0024723B"/>
    <w:rsid w:val="00250208"/>
    <w:rsid w:val="00250F64"/>
    <w:rsid w:val="002520D3"/>
    <w:rsid w:val="00252116"/>
    <w:rsid w:val="002523DA"/>
    <w:rsid w:val="00252617"/>
    <w:rsid w:val="00252633"/>
    <w:rsid w:val="00252C95"/>
    <w:rsid w:val="002536E0"/>
    <w:rsid w:val="00254E78"/>
    <w:rsid w:val="00255622"/>
    <w:rsid w:val="002562D8"/>
    <w:rsid w:val="0025742E"/>
    <w:rsid w:val="00257568"/>
    <w:rsid w:val="00260617"/>
    <w:rsid w:val="00260AAD"/>
    <w:rsid w:val="00261345"/>
    <w:rsid w:val="0026184B"/>
    <w:rsid w:val="002625D8"/>
    <w:rsid w:val="002626B9"/>
    <w:rsid w:val="00264167"/>
    <w:rsid w:val="00264A0D"/>
    <w:rsid w:val="002661BF"/>
    <w:rsid w:val="00266624"/>
    <w:rsid w:val="00267200"/>
    <w:rsid w:val="0027014C"/>
    <w:rsid w:val="002701D4"/>
    <w:rsid w:val="002705E9"/>
    <w:rsid w:val="002709B9"/>
    <w:rsid w:val="002709D2"/>
    <w:rsid w:val="00270A0C"/>
    <w:rsid w:val="00271944"/>
    <w:rsid w:val="00271F8E"/>
    <w:rsid w:val="002727E3"/>
    <w:rsid w:val="00273347"/>
    <w:rsid w:val="002733C5"/>
    <w:rsid w:val="002734B1"/>
    <w:rsid w:val="002746C9"/>
    <w:rsid w:val="00274CDA"/>
    <w:rsid w:val="00275345"/>
    <w:rsid w:val="0027598E"/>
    <w:rsid w:val="00275B73"/>
    <w:rsid w:val="00276F59"/>
    <w:rsid w:val="00280DE3"/>
    <w:rsid w:val="00281716"/>
    <w:rsid w:val="0028252A"/>
    <w:rsid w:val="00285F26"/>
    <w:rsid w:val="0028732E"/>
    <w:rsid w:val="00290646"/>
    <w:rsid w:val="002907FA"/>
    <w:rsid w:val="00290D4A"/>
    <w:rsid w:val="00291854"/>
    <w:rsid w:val="002925D6"/>
    <w:rsid w:val="00292A85"/>
    <w:rsid w:val="00293316"/>
    <w:rsid w:val="00293493"/>
    <w:rsid w:val="00293E9D"/>
    <w:rsid w:val="0029441E"/>
    <w:rsid w:val="002947B6"/>
    <w:rsid w:val="002955D0"/>
    <w:rsid w:val="00295768"/>
    <w:rsid w:val="00295AC9"/>
    <w:rsid w:val="00295AE5"/>
    <w:rsid w:val="00296354"/>
    <w:rsid w:val="0029693A"/>
    <w:rsid w:val="00296ACB"/>
    <w:rsid w:val="00296FCB"/>
    <w:rsid w:val="00297132"/>
    <w:rsid w:val="002A23DB"/>
    <w:rsid w:val="002A2566"/>
    <w:rsid w:val="002A47C2"/>
    <w:rsid w:val="002A4F7D"/>
    <w:rsid w:val="002A51B7"/>
    <w:rsid w:val="002A6A16"/>
    <w:rsid w:val="002A732C"/>
    <w:rsid w:val="002A7962"/>
    <w:rsid w:val="002B084F"/>
    <w:rsid w:val="002B0BB3"/>
    <w:rsid w:val="002B113D"/>
    <w:rsid w:val="002B130F"/>
    <w:rsid w:val="002B1D87"/>
    <w:rsid w:val="002B27C6"/>
    <w:rsid w:val="002B2811"/>
    <w:rsid w:val="002B3E98"/>
    <w:rsid w:val="002B407B"/>
    <w:rsid w:val="002B46CC"/>
    <w:rsid w:val="002B4C24"/>
    <w:rsid w:val="002B5595"/>
    <w:rsid w:val="002B6106"/>
    <w:rsid w:val="002B6345"/>
    <w:rsid w:val="002B7498"/>
    <w:rsid w:val="002C0366"/>
    <w:rsid w:val="002C0588"/>
    <w:rsid w:val="002C1827"/>
    <w:rsid w:val="002C1945"/>
    <w:rsid w:val="002C2097"/>
    <w:rsid w:val="002C2810"/>
    <w:rsid w:val="002C2FB2"/>
    <w:rsid w:val="002C3672"/>
    <w:rsid w:val="002C3DEB"/>
    <w:rsid w:val="002C3F7D"/>
    <w:rsid w:val="002C3FA1"/>
    <w:rsid w:val="002C4125"/>
    <w:rsid w:val="002C4948"/>
    <w:rsid w:val="002C4D85"/>
    <w:rsid w:val="002C5526"/>
    <w:rsid w:val="002C596C"/>
    <w:rsid w:val="002C6C03"/>
    <w:rsid w:val="002D01F5"/>
    <w:rsid w:val="002D05BB"/>
    <w:rsid w:val="002D1264"/>
    <w:rsid w:val="002D1738"/>
    <w:rsid w:val="002D1747"/>
    <w:rsid w:val="002D2F18"/>
    <w:rsid w:val="002D39A0"/>
    <w:rsid w:val="002D3D8C"/>
    <w:rsid w:val="002D3EF8"/>
    <w:rsid w:val="002D44E4"/>
    <w:rsid w:val="002D5AAA"/>
    <w:rsid w:val="002D67F3"/>
    <w:rsid w:val="002D789E"/>
    <w:rsid w:val="002D7DA2"/>
    <w:rsid w:val="002E0379"/>
    <w:rsid w:val="002E10D6"/>
    <w:rsid w:val="002E14EC"/>
    <w:rsid w:val="002E4B24"/>
    <w:rsid w:val="002E531B"/>
    <w:rsid w:val="002E638A"/>
    <w:rsid w:val="002E692B"/>
    <w:rsid w:val="002E7A30"/>
    <w:rsid w:val="002E7B71"/>
    <w:rsid w:val="002F0BBB"/>
    <w:rsid w:val="002F15BB"/>
    <w:rsid w:val="002F243A"/>
    <w:rsid w:val="002F3546"/>
    <w:rsid w:val="002F40F3"/>
    <w:rsid w:val="002F42F1"/>
    <w:rsid w:val="002F50BE"/>
    <w:rsid w:val="002F5320"/>
    <w:rsid w:val="003019FE"/>
    <w:rsid w:val="00301BCC"/>
    <w:rsid w:val="00301C70"/>
    <w:rsid w:val="00303038"/>
    <w:rsid w:val="00303E38"/>
    <w:rsid w:val="00304565"/>
    <w:rsid w:val="003045DB"/>
    <w:rsid w:val="00305105"/>
    <w:rsid w:val="003069EA"/>
    <w:rsid w:val="00306BDC"/>
    <w:rsid w:val="00306F77"/>
    <w:rsid w:val="003100FD"/>
    <w:rsid w:val="003106C2"/>
    <w:rsid w:val="00310D63"/>
    <w:rsid w:val="00311448"/>
    <w:rsid w:val="0031155B"/>
    <w:rsid w:val="00311EFE"/>
    <w:rsid w:val="00312FF3"/>
    <w:rsid w:val="00313920"/>
    <w:rsid w:val="00314A50"/>
    <w:rsid w:val="003150C8"/>
    <w:rsid w:val="003206C5"/>
    <w:rsid w:val="00320AA0"/>
    <w:rsid w:val="00321BD6"/>
    <w:rsid w:val="0032244D"/>
    <w:rsid w:val="00322D45"/>
    <w:rsid w:val="00322F33"/>
    <w:rsid w:val="00323260"/>
    <w:rsid w:val="00323B6C"/>
    <w:rsid w:val="003247DA"/>
    <w:rsid w:val="00324808"/>
    <w:rsid w:val="00324A5C"/>
    <w:rsid w:val="00325376"/>
    <w:rsid w:val="003264C7"/>
    <w:rsid w:val="003271D1"/>
    <w:rsid w:val="00327488"/>
    <w:rsid w:val="003303B0"/>
    <w:rsid w:val="0033084F"/>
    <w:rsid w:val="00330AD1"/>
    <w:rsid w:val="00331938"/>
    <w:rsid w:val="00331E1A"/>
    <w:rsid w:val="00332861"/>
    <w:rsid w:val="003342FF"/>
    <w:rsid w:val="003348F5"/>
    <w:rsid w:val="00334E4A"/>
    <w:rsid w:val="00335111"/>
    <w:rsid w:val="00335308"/>
    <w:rsid w:val="003353DC"/>
    <w:rsid w:val="003374E9"/>
    <w:rsid w:val="00337F90"/>
    <w:rsid w:val="00341DBA"/>
    <w:rsid w:val="003421CD"/>
    <w:rsid w:val="003426D0"/>
    <w:rsid w:val="00344214"/>
    <w:rsid w:val="003451F5"/>
    <w:rsid w:val="0034544A"/>
    <w:rsid w:val="003478ED"/>
    <w:rsid w:val="00347E76"/>
    <w:rsid w:val="00347F13"/>
    <w:rsid w:val="003503FD"/>
    <w:rsid w:val="003506C0"/>
    <w:rsid w:val="003520F5"/>
    <w:rsid w:val="003536D1"/>
    <w:rsid w:val="00353CDB"/>
    <w:rsid w:val="00355D07"/>
    <w:rsid w:val="00356810"/>
    <w:rsid w:val="00356F4B"/>
    <w:rsid w:val="003608AA"/>
    <w:rsid w:val="00360947"/>
    <w:rsid w:val="003611D2"/>
    <w:rsid w:val="00361530"/>
    <w:rsid w:val="00361539"/>
    <w:rsid w:val="00361C7B"/>
    <w:rsid w:val="003621FA"/>
    <w:rsid w:val="003623C9"/>
    <w:rsid w:val="0036256B"/>
    <w:rsid w:val="00363889"/>
    <w:rsid w:val="00363A7F"/>
    <w:rsid w:val="00364647"/>
    <w:rsid w:val="00365A62"/>
    <w:rsid w:val="00365D35"/>
    <w:rsid w:val="00366B40"/>
    <w:rsid w:val="0036797D"/>
    <w:rsid w:val="003679F8"/>
    <w:rsid w:val="003708EA"/>
    <w:rsid w:val="00370E12"/>
    <w:rsid w:val="003712BF"/>
    <w:rsid w:val="0037177E"/>
    <w:rsid w:val="00371A2E"/>
    <w:rsid w:val="0037292A"/>
    <w:rsid w:val="00376330"/>
    <w:rsid w:val="00377927"/>
    <w:rsid w:val="00380FE7"/>
    <w:rsid w:val="00381830"/>
    <w:rsid w:val="00381CE9"/>
    <w:rsid w:val="00381D29"/>
    <w:rsid w:val="00382B31"/>
    <w:rsid w:val="00382E3D"/>
    <w:rsid w:val="003855B2"/>
    <w:rsid w:val="00385632"/>
    <w:rsid w:val="0038636C"/>
    <w:rsid w:val="00386DDB"/>
    <w:rsid w:val="00387705"/>
    <w:rsid w:val="00387EBF"/>
    <w:rsid w:val="00390A35"/>
    <w:rsid w:val="00390C60"/>
    <w:rsid w:val="00390F16"/>
    <w:rsid w:val="00391FF5"/>
    <w:rsid w:val="003932E3"/>
    <w:rsid w:val="00393D10"/>
    <w:rsid w:val="003941E8"/>
    <w:rsid w:val="003945BF"/>
    <w:rsid w:val="003945C1"/>
    <w:rsid w:val="003950E4"/>
    <w:rsid w:val="003961C9"/>
    <w:rsid w:val="00396998"/>
    <w:rsid w:val="003969CA"/>
    <w:rsid w:val="003969E3"/>
    <w:rsid w:val="003A0394"/>
    <w:rsid w:val="003A3994"/>
    <w:rsid w:val="003A3AC2"/>
    <w:rsid w:val="003A3C3C"/>
    <w:rsid w:val="003A4266"/>
    <w:rsid w:val="003A4E9D"/>
    <w:rsid w:val="003A515F"/>
    <w:rsid w:val="003A5413"/>
    <w:rsid w:val="003A57C9"/>
    <w:rsid w:val="003A6088"/>
    <w:rsid w:val="003A6725"/>
    <w:rsid w:val="003A6F5A"/>
    <w:rsid w:val="003A70C0"/>
    <w:rsid w:val="003B094D"/>
    <w:rsid w:val="003B17A8"/>
    <w:rsid w:val="003B2C1A"/>
    <w:rsid w:val="003B317E"/>
    <w:rsid w:val="003B326E"/>
    <w:rsid w:val="003B3670"/>
    <w:rsid w:val="003B4CA5"/>
    <w:rsid w:val="003B6BC7"/>
    <w:rsid w:val="003B705B"/>
    <w:rsid w:val="003B7CD6"/>
    <w:rsid w:val="003C0003"/>
    <w:rsid w:val="003C0A45"/>
    <w:rsid w:val="003C1580"/>
    <w:rsid w:val="003C19AD"/>
    <w:rsid w:val="003C1CA4"/>
    <w:rsid w:val="003C3053"/>
    <w:rsid w:val="003C3444"/>
    <w:rsid w:val="003C34BC"/>
    <w:rsid w:val="003C456D"/>
    <w:rsid w:val="003C45DF"/>
    <w:rsid w:val="003C5B07"/>
    <w:rsid w:val="003C5C0C"/>
    <w:rsid w:val="003C616F"/>
    <w:rsid w:val="003C61B8"/>
    <w:rsid w:val="003C6493"/>
    <w:rsid w:val="003C67AD"/>
    <w:rsid w:val="003C6B9E"/>
    <w:rsid w:val="003C6CB6"/>
    <w:rsid w:val="003D027D"/>
    <w:rsid w:val="003D06C7"/>
    <w:rsid w:val="003D1BEC"/>
    <w:rsid w:val="003D3312"/>
    <w:rsid w:val="003D3A67"/>
    <w:rsid w:val="003D3BE2"/>
    <w:rsid w:val="003D3EFB"/>
    <w:rsid w:val="003D51DC"/>
    <w:rsid w:val="003D555B"/>
    <w:rsid w:val="003D5E8C"/>
    <w:rsid w:val="003D674E"/>
    <w:rsid w:val="003D6777"/>
    <w:rsid w:val="003D773E"/>
    <w:rsid w:val="003D798B"/>
    <w:rsid w:val="003E0F09"/>
    <w:rsid w:val="003E20F3"/>
    <w:rsid w:val="003E2371"/>
    <w:rsid w:val="003E25B6"/>
    <w:rsid w:val="003E3925"/>
    <w:rsid w:val="003E4826"/>
    <w:rsid w:val="003E4909"/>
    <w:rsid w:val="003E5C73"/>
    <w:rsid w:val="003E5C95"/>
    <w:rsid w:val="003E632B"/>
    <w:rsid w:val="003E6EF4"/>
    <w:rsid w:val="003E7301"/>
    <w:rsid w:val="003E7979"/>
    <w:rsid w:val="003E7EE6"/>
    <w:rsid w:val="003F0505"/>
    <w:rsid w:val="003F21CA"/>
    <w:rsid w:val="003F24E4"/>
    <w:rsid w:val="003F27D6"/>
    <w:rsid w:val="003F2813"/>
    <w:rsid w:val="003F36F4"/>
    <w:rsid w:val="003F38A5"/>
    <w:rsid w:val="003F4040"/>
    <w:rsid w:val="003F42F4"/>
    <w:rsid w:val="003F49BB"/>
    <w:rsid w:val="003F4AFC"/>
    <w:rsid w:val="003F4DFB"/>
    <w:rsid w:val="003F5865"/>
    <w:rsid w:val="003F5B6D"/>
    <w:rsid w:val="003F6AAD"/>
    <w:rsid w:val="003F6CF0"/>
    <w:rsid w:val="003F7998"/>
    <w:rsid w:val="00400560"/>
    <w:rsid w:val="00400FBB"/>
    <w:rsid w:val="0040122B"/>
    <w:rsid w:val="0040188F"/>
    <w:rsid w:val="0040252B"/>
    <w:rsid w:val="004035BB"/>
    <w:rsid w:val="00404F4C"/>
    <w:rsid w:val="004108A8"/>
    <w:rsid w:val="00410A82"/>
    <w:rsid w:val="00410AC2"/>
    <w:rsid w:val="00411813"/>
    <w:rsid w:val="004123C5"/>
    <w:rsid w:val="004135E8"/>
    <w:rsid w:val="004138C7"/>
    <w:rsid w:val="00413EBD"/>
    <w:rsid w:val="004144DE"/>
    <w:rsid w:val="00414682"/>
    <w:rsid w:val="00414D61"/>
    <w:rsid w:val="00414F10"/>
    <w:rsid w:val="004155E3"/>
    <w:rsid w:val="00415708"/>
    <w:rsid w:val="00415BF5"/>
    <w:rsid w:val="0041668B"/>
    <w:rsid w:val="00416DB5"/>
    <w:rsid w:val="00417E01"/>
    <w:rsid w:val="00420369"/>
    <w:rsid w:val="00421047"/>
    <w:rsid w:val="00421DB8"/>
    <w:rsid w:val="00421FD4"/>
    <w:rsid w:val="004224F5"/>
    <w:rsid w:val="0042271A"/>
    <w:rsid w:val="00423184"/>
    <w:rsid w:val="004233DE"/>
    <w:rsid w:val="0042372D"/>
    <w:rsid w:val="00424A9D"/>
    <w:rsid w:val="00425418"/>
    <w:rsid w:val="00425E9B"/>
    <w:rsid w:val="00427D14"/>
    <w:rsid w:val="00430D04"/>
    <w:rsid w:val="00430EA6"/>
    <w:rsid w:val="004333C0"/>
    <w:rsid w:val="00433694"/>
    <w:rsid w:val="00433B99"/>
    <w:rsid w:val="00433F61"/>
    <w:rsid w:val="0043454F"/>
    <w:rsid w:val="00435CC2"/>
    <w:rsid w:val="00436008"/>
    <w:rsid w:val="00440270"/>
    <w:rsid w:val="004416B0"/>
    <w:rsid w:val="0044199C"/>
    <w:rsid w:val="00443933"/>
    <w:rsid w:val="00444004"/>
    <w:rsid w:val="00444BBC"/>
    <w:rsid w:val="00446D1C"/>
    <w:rsid w:val="00447191"/>
    <w:rsid w:val="00447864"/>
    <w:rsid w:val="004478D5"/>
    <w:rsid w:val="004479B6"/>
    <w:rsid w:val="00447E2C"/>
    <w:rsid w:val="00451A3F"/>
    <w:rsid w:val="00451F49"/>
    <w:rsid w:val="00453888"/>
    <w:rsid w:val="004538D9"/>
    <w:rsid w:val="00453C6C"/>
    <w:rsid w:val="00454238"/>
    <w:rsid w:val="0045453E"/>
    <w:rsid w:val="00454B29"/>
    <w:rsid w:val="0045531D"/>
    <w:rsid w:val="004556FB"/>
    <w:rsid w:val="00457441"/>
    <w:rsid w:val="00457A5F"/>
    <w:rsid w:val="0046034C"/>
    <w:rsid w:val="004613C8"/>
    <w:rsid w:val="004616A6"/>
    <w:rsid w:val="00461A76"/>
    <w:rsid w:val="00461B22"/>
    <w:rsid w:val="00463057"/>
    <w:rsid w:val="00463318"/>
    <w:rsid w:val="004635D8"/>
    <w:rsid w:val="0046373A"/>
    <w:rsid w:val="0046391C"/>
    <w:rsid w:val="0046464A"/>
    <w:rsid w:val="00464CF5"/>
    <w:rsid w:val="004663E5"/>
    <w:rsid w:val="00466DE8"/>
    <w:rsid w:val="0046733E"/>
    <w:rsid w:val="00467BCE"/>
    <w:rsid w:val="00467C1B"/>
    <w:rsid w:val="0047060B"/>
    <w:rsid w:val="0047175F"/>
    <w:rsid w:val="004718BF"/>
    <w:rsid w:val="00471FDE"/>
    <w:rsid w:val="004721A6"/>
    <w:rsid w:val="004721C2"/>
    <w:rsid w:val="0047359A"/>
    <w:rsid w:val="00474F1B"/>
    <w:rsid w:val="0047644A"/>
    <w:rsid w:val="00480B7A"/>
    <w:rsid w:val="00481402"/>
    <w:rsid w:val="00481501"/>
    <w:rsid w:val="00481716"/>
    <w:rsid w:val="004828C4"/>
    <w:rsid w:val="00483A6A"/>
    <w:rsid w:val="00483DB5"/>
    <w:rsid w:val="00484574"/>
    <w:rsid w:val="00484B2F"/>
    <w:rsid w:val="00484DC0"/>
    <w:rsid w:val="00484ED1"/>
    <w:rsid w:val="0048563A"/>
    <w:rsid w:val="00486678"/>
    <w:rsid w:val="00487462"/>
    <w:rsid w:val="004875D8"/>
    <w:rsid w:val="0048761A"/>
    <w:rsid w:val="00487A54"/>
    <w:rsid w:val="00491C79"/>
    <w:rsid w:val="004927AC"/>
    <w:rsid w:val="00494CD9"/>
    <w:rsid w:val="00494DB9"/>
    <w:rsid w:val="00495FC1"/>
    <w:rsid w:val="00496278"/>
    <w:rsid w:val="004970E3"/>
    <w:rsid w:val="004A13A5"/>
    <w:rsid w:val="004A274C"/>
    <w:rsid w:val="004A3D9F"/>
    <w:rsid w:val="004A4C2A"/>
    <w:rsid w:val="004A557F"/>
    <w:rsid w:val="004A5E6A"/>
    <w:rsid w:val="004A5FDD"/>
    <w:rsid w:val="004A6DBA"/>
    <w:rsid w:val="004A7298"/>
    <w:rsid w:val="004A793F"/>
    <w:rsid w:val="004A7AAC"/>
    <w:rsid w:val="004B204F"/>
    <w:rsid w:val="004B236E"/>
    <w:rsid w:val="004B2779"/>
    <w:rsid w:val="004B2EDB"/>
    <w:rsid w:val="004B37AA"/>
    <w:rsid w:val="004B5063"/>
    <w:rsid w:val="004B5F0D"/>
    <w:rsid w:val="004B68B8"/>
    <w:rsid w:val="004B7F4C"/>
    <w:rsid w:val="004C22E6"/>
    <w:rsid w:val="004C2688"/>
    <w:rsid w:val="004C28DF"/>
    <w:rsid w:val="004C390E"/>
    <w:rsid w:val="004C3F27"/>
    <w:rsid w:val="004C3F7C"/>
    <w:rsid w:val="004C40C8"/>
    <w:rsid w:val="004C4441"/>
    <w:rsid w:val="004C6FF0"/>
    <w:rsid w:val="004C7485"/>
    <w:rsid w:val="004C7946"/>
    <w:rsid w:val="004D0222"/>
    <w:rsid w:val="004D0746"/>
    <w:rsid w:val="004D0B6E"/>
    <w:rsid w:val="004D1588"/>
    <w:rsid w:val="004D18ED"/>
    <w:rsid w:val="004D267E"/>
    <w:rsid w:val="004D2764"/>
    <w:rsid w:val="004D353D"/>
    <w:rsid w:val="004D4690"/>
    <w:rsid w:val="004D4713"/>
    <w:rsid w:val="004D67BF"/>
    <w:rsid w:val="004E0D97"/>
    <w:rsid w:val="004E1184"/>
    <w:rsid w:val="004E4A6F"/>
    <w:rsid w:val="004E506A"/>
    <w:rsid w:val="004E5F13"/>
    <w:rsid w:val="004E695B"/>
    <w:rsid w:val="004E6D99"/>
    <w:rsid w:val="004E6F18"/>
    <w:rsid w:val="004E77E0"/>
    <w:rsid w:val="004F08DE"/>
    <w:rsid w:val="004F13D6"/>
    <w:rsid w:val="004F15E1"/>
    <w:rsid w:val="004F1966"/>
    <w:rsid w:val="004F1996"/>
    <w:rsid w:val="004F2B10"/>
    <w:rsid w:val="004F2FEB"/>
    <w:rsid w:val="004F379C"/>
    <w:rsid w:val="004F3FD9"/>
    <w:rsid w:val="004F48EC"/>
    <w:rsid w:val="004F60C5"/>
    <w:rsid w:val="004F60DD"/>
    <w:rsid w:val="004F6145"/>
    <w:rsid w:val="004F6A4F"/>
    <w:rsid w:val="004F751B"/>
    <w:rsid w:val="004F7922"/>
    <w:rsid w:val="004F7CB0"/>
    <w:rsid w:val="00502508"/>
    <w:rsid w:val="00502649"/>
    <w:rsid w:val="0050342F"/>
    <w:rsid w:val="005038E9"/>
    <w:rsid w:val="00503D49"/>
    <w:rsid w:val="00505633"/>
    <w:rsid w:val="00505822"/>
    <w:rsid w:val="00505904"/>
    <w:rsid w:val="0050626E"/>
    <w:rsid w:val="00506302"/>
    <w:rsid w:val="00506947"/>
    <w:rsid w:val="00506CBF"/>
    <w:rsid w:val="00507206"/>
    <w:rsid w:val="00507907"/>
    <w:rsid w:val="005103CB"/>
    <w:rsid w:val="00511902"/>
    <w:rsid w:val="00511C84"/>
    <w:rsid w:val="00511DDD"/>
    <w:rsid w:val="00511EB2"/>
    <w:rsid w:val="00512092"/>
    <w:rsid w:val="00512F23"/>
    <w:rsid w:val="0051322F"/>
    <w:rsid w:val="00513761"/>
    <w:rsid w:val="00513FCE"/>
    <w:rsid w:val="005146C0"/>
    <w:rsid w:val="00514FE3"/>
    <w:rsid w:val="005151D9"/>
    <w:rsid w:val="005153C0"/>
    <w:rsid w:val="005153C5"/>
    <w:rsid w:val="005158FD"/>
    <w:rsid w:val="00515DF4"/>
    <w:rsid w:val="00515EC8"/>
    <w:rsid w:val="00516816"/>
    <w:rsid w:val="00516D3E"/>
    <w:rsid w:val="00517141"/>
    <w:rsid w:val="0051724C"/>
    <w:rsid w:val="005172E2"/>
    <w:rsid w:val="005173AC"/>
    <w:rsid w:val="00517692"/>
    <w:rsid w:val="00517D1E"/>
    <w:rsid w:val="00520724"/>
    <w:rsid w:val="00522516"/>
    <w:rsid w:val="0052339B"/>
    <w:rsid w:val="0052375D"/>
    <w:rsid w:val="00523D60"/>
    <w:rsid w:val="00523FF0"/>
    <w:rsid w:val="005243EF"/>
    <w:rsid w:val="00524711"/>
    <w:rsid w:val="00524A1D"/>
    <w:rsid w:val="00525775"/>
    <w:rsid w:val="005260D7"/>
    <w:rsid w:val="0052623D"/>
    <w:rsid w:val="0052635A"/>
    <w:rsid w:val="0052673A"/>
    <w:rsid w:val="00530247"/>
    <w:rsid w:val="0053066D"/>
    <w:rsid w:val="005307A4"/>
    <w:rsid w:val="005315B9"/>
    <w:rsid w:val="00531E8D"/>
    <w:rsid w:val="0053213C"/>
    <w:rsid w:val="00532147"/>
    <w:rsid w:val="00532205"/>
    <w:rsid w:val="00532259"/>
    <w:rsid w:val="00533CD2"/>
    <w:rsid w:val="005344FD"/>
    <w:rsid w:val="00534F81"/>
    <w:rsid w:val="005354A2"/>
    <w:rsid w:val="00535878"/>
    <w:rsid w:val="00535AA5"/>
    <w:rsid w:val="00535D7F"/>
    <w:rsid w:val="005364AC"/>
    <w:rsid w:val="00537B4A"/>
    <w:rsid w:val="0054009D"/>
    <w:rsid w:val="0054070E"/>
    <w:rsid w:val="00541595"/>
    <w:rsid w:val="00544501"/>
    <w:rsid w:val="00544521"/>
    <w:rsid w:val="00544B99"/>
    <w:rsid w:val="00545E0F"/>
    <w:rsid w:val="00546723"/>
    <w:rsid w:val="005469E3"/>
    <w:rsid w:val="005476BD"/>
    <w:rsid w:val="00550656"/>
    <w:rsid w:val="00550D0B"/>
    <w:rsid w:val="00551E91"/>
    <w:rsid w:val="00554725"/>
    <w:rsid w:val="00554E69"/>
    <w:rsid w:val="00557806"/>
    <w:rsid w:val="005600F7"/>
    <w:rsid w:val="00560706"/>
    <w:rsid w:val="00562EDC"/>
    <w:rsid w:val="00563BFF"/>
    <w:rsid w:val="00563C76"/>
    <w:rsid w:val="005642C7"/>
    <w:rsid w:val="00564599"/>
    <w:rsid w:val="005651D5"/>
    <w:rsid w:val="00566A71"/>
    <w:rsid w:val="00567A98"/>
    <w:rsid w:val="005713F6"/>
    <w:rsid w:val="00571DF9"/>
    <w:rsid w:val="00572B68"/>
    <w:rsid w:val="00573E2D"/>
    <w:rsid w:val="0057529F"/>
    <w:rsid w:val="0057574B"/>
    <w:rsid w:val="00575D9B"/>
    <w:rsid w:val="00576107"/>
    <w:rsid w:val="005769C9"/>
    <w:rsid w:val="00577DF7"/>
    <w:rsid w:val="00577F66"/>
    <w:rsid w:val="00580067"/>
    <w:rsid w:val="005803D1"/>
    <w:rsid w:val="00581876"/>
    <w:rsid w:val="00582265"/>
    <w:rsid w:val="0058331A"/>
    <w:rsid w:val="00583A8C"/>
    <w:rsid w:val="00583B54"/>
    <w:rsid w:val="00583D24"/>
    <w:rsid w:val="0058488C"/>
    <w:rsid w:val="005851C3"/>
    <w:rsid w:val="0058697C"/>
    <w:rsid w:val="00587D2B"/>
    <w:rsid w:val="00587ED3"/>
    <w:rsid w:val="0059099A"/>
    <w:rsid w:val="005909F4"/>
    <w:rsid w:val="00591359"/>
    <w:rsid w:val="00591C7C"/>
    <w:rsid w:val="00592C2D"/>
    <w:rsid w:val="00595D6A"/>
    <w:rsid w:val="00595F58"/>
    <w:rsid w:val="00596BE9"/>
    <w:rsid w:val="00597A88"/>
    <w:rsid w:val="00597C9E"/>
    <w:rsid w:val="005A0AF4"/>
    <w:rsid w:val="005A1428"/>
    <w:rsid w:val="005A1748"/>
    <w:rsid w:val="005A1833"/>
    <w:rsid w:val="005A2057"/>
    <w:rsid w:val="005A24ED"/>
    <w:rsid w:val="005A2777"/>
    <w:rsid w:val="005A43A4"/>
    <w:rsid w:val="005A53BB"/>
    <w:rsid w:val="005A6982"/>
    <w:rsid w:val="005A6F5F"/>
    <w:rsid w:val="005A6FB9"/>
    <w:rsid w:val="005B2532"/>
    <w:rsid w:val="005B2EC9"/>
    <w:rsid w:val="005B2F30"/>
    <w:rsid w:val="005B3010"/>
    <w:rsid w:val="005B372E"/>
    <w:rsid w:val="005B4F89"/>
    <w:rsid w:val="005C05E8"/>
    <w:rsid w:val="005C0F2D"/>
    <w:rsid w:val="005C4428"/>
    <w:rsid w:val="005C4D08"/>
    <w:rsid w:val="005C5303"/>
    <w:rsid w:val="005C5A28"/>
    <w:rsid w:val="005C6242"/>
    <w:rsid w:val="005C659E"/>
    <w:rsid w:val="005C6955"/>
    <w:rsid w:val="005C6CAD"/>
    <w:rsid w:val="005C6F4C"/>
    <w:rsid w:val="005D02BF"/>
    <w:rsid w:val="005D0E99"/>
    <w:rsid w:val="005D1349"/>
    <w:rsid w:val="005D2361"/>
    <w:rsid w:val="005D23CB"/>
    <w:rsid w:val="005D26B1"/>
    <w:rsid w:val="005D2D96"/>
    <w:rsid w:val="005D41CF"/>
    <w:rsid w:val="005D4226"/>
    <w:rsid w:val="005D4634"/>
    <w:rsid w:val="005D49A8"/>
    <w:rsid w:val="005D58DA"/>
    <w:rsid w:val="005D5D5E"/>
    <w:rsid w:val="005D64C3"/>
    <w:rsid w:val="005D6ADA"/>
    <w:rsid w:val="005D7691"/>
    <w:rsid w:val="005D7FDD"/>
    <w:rsid w:val="005E15BA"/>
    <w:rsid w:val="005E1622"/>
    <w:rsid w:val="005E1898"/>
    <w:rsid w:val="005E1A81"/>
    <w:rsid w:val="005E291B"/>
    <w:rsid w:val="005E2B37"/>
    <w:rsid w:val="005E3C9D"/>
    <w:rsid w:val="005E4F85"/>
    <w:rsid w:val="005E57CC"/>
    <w:rsid w:val="005E661F"/>
    <w:rsid w:val="005E6723"/>
    <w:rsid w:val="005E790D"/>
    <w:rsid w:val="005E792C"/>
    <w:rsid w:val="005F0284"/>
    <w:rsid w:val="005F0777"/>
    <w:rsid w:val="005F1697"/>
    <w:rsid w:val="005F34D4"/>
    <w:rsid w:val="005F4E4E"/>
    <w:rsid w:val="005F5953"/>
    <w:rsid w:val="005F65C1"/>
    <w:rsid w:val="005F6B02"/>
    <w:rsid w:val="005F7287"/>
    <w:rsid w:val="005F732B"/>
    <w:rsid w:val="005F7460"/>
    <w:rsid w:val="005F77F4"/>
    <w:rsid w:val="006002B8"/>
    <w:rsid w:val="0060113C"/>
    <w:rsid w:val="00601945"/>
    <w:rsid w:val="00601A44"/>
    <w:rsid w:val="00601B4D"/>
    <w:rsid w:val="00601FD0"/>
    <w:rsid w:val="0060305C"/>
    <w:rsid w:val="0060329B"/>
    <w:rsid w:val="006043FF"/>
    <w:rsid w:val="006046ED"/>
    <w:rsid w:val="00604B96"/>
    <w:rsid w:val="00604C77"/>
    <w:rsid w:val="00606AF2"/>
    <w:rsid w:val="00606D32"/>
    <w:rsid w:val="006070B1"/>
    <w:rsid w:val="00607824"/>
    <w:rsid w:val="00610085"/>
    <w:rsid w:val="006119BA"/>
    <w:rsid w:val="00613964"/>
    <w:rsid w:val="006143A5"/>
    <w:rsid w:val="00614554"/>
    <w:rsid w:val="00614FC4"/>
    <w:rsid w:val="00616410"/>
    <w:rsid w:val="00617435"/>
    <w:rsid w:val="006176DE"/>
    <w:rsid w:val="00621671"/>
    <w:rsid w:val="0062188A"/>
    <w:rsid w:val="00621BE9"/>
    <w:rsid w:val="0062224E"/>
    <w:rsid w:val="00622CA9"/>
    <w:rsid w:val="00622CDB"/>
    <w:rsid w:val="006237C4"/>
    <w:rsid w:val="00625CA5"/>
    <w:rsid w:val="006267E6"/>
    <w:rsid w:val="00626CD4"/>
    <w:rsid w:val="00631B9C"/>
    <w:rsid w:val="00631DCB"/>
    <w:rsid w:val="00631DF6"/>
    <w:rsid w:val="00632199"/>
    <w:rsid w:val="00632C79"/>
    <w:rsid w:val="006334B8"/>
    <w:rsid w:val="0063372A"/>
    <w:rsid w:val="006337DD"/>
    <w:rsid w:val="006376B6"/>
    <w:rsid w:val="006377C0"/>
    <w:rsid w:val="0064061D"/>
    <w:rsid w:val="0064351E"/>
    <w:rsid w:val="00643729"/>
    <w:rsid w:val="00644992"/>
    <w:rsid w:val="00645AB0"/>
    <w:rsid w:val="006461D4"/>
    <w:rsid w:val="00646A27"/>
    <w:rsid w:val="00650019"/>
    <w:rsid w:val="00651B59"/>
    <w:rsid w:val="006523BF"/>
    <w:rsid w:val="00653D2B"/>
    <w:rsid w:val="00653ECF"/>
    <w:rsid w:val="00654E41"/>
    <w:rsid w:val="00655B2E"/>
    <w:rsid w:val="00655E74"/>
    <w:rsid w:val="00656142"/>
    <w:rsid w:val="006565B0"/>
    <w:rsid w:val="006568AA"/>
    <w:rsid w:val="006577C6"/>
    <w:rsid w:val="006577D6"/>
    <w:rsid w:val="00657908"/>
    <w:rsid w:val="00657CD2"/>
    <w:rsid w:val="0066013D"/>
    <w:rsid w:val="00660173"/>
    <w:rsid w:val="006607E1"/>
    <w:rsid w:val="00660D97"/>
    <w:rsid w:val="00662553"/>
    <w:rsid w:val="00663174"/>
    <w:rsid w:val="00663A0D"/>
    <w:rsid w:val="00664F1B"/>
    <w:rsid w:val="006667A4"/>
    <w:rsid w:val="006668CC"/>
    <w:rsid w:val="00666D0F"/>
    <w:rsid w:val="0067160E"/>
    <w:rsid w:val="00672DD5"/>
    <w:rsid w:val="00672F28"/>
    <w:rsid w:val="00673CB2"/>
    <w:rsid w:val="00676F64"/>
    <w:rsid w:val="006776F2"/>
    <w:rsid w:val="0067785A"/>
    <w:rsid w:val="00677EBB"/>
    <w:rsid w:val="006800DB"/>
    <w:rsid w:val="00680768"/>
    <w:rsid w:val="00682352"/>
    <w:rsid w:val="006829A1"/>
    <w:rsid w:val="00682D05"/>
    <w:rsid w:val="00682DED"/>
    <w:rsid w:val="00684F3E"/>
    <w:rsid w:val="0068585D"/>
    <w:rsid w:val="006865DC"/>
    <w:rsid w:val="00686797"/>
    <w:rsid w:val="00686C27"/>
    <w:rsid w:val="00686C69"/>
    <w:rsid w:val="00686C9A"/>
    <w:rsid w:val="00687545"/>
    <w:rsid w:val="00687C1A"/>
    <w:rsid w:val="00687CB8"/>
    <w:rsid w:val="00687D40"/>
    <w:rsid w:val="006902FE"/>
    <w:rsid w:val="00690868"/>
    <w:rsid w:val="00690DB9"/>
    <w:rsid w:val="00690F0A"/>
    <w:rsid w:val="00691396"/>
    <w:rsid w:val="00691E67"/>
    <w:rsid w:val="00692105"/>
    <w:rsid w:val="0069280E"/>
    <w:rsid w:val="00692BBC"/>
    <w:rsid w:val="00692BED"/>
    <w:rsid w:val="006930A7"/>
    <w:rsid w:val="006943C7"/>
    <w:rsid w:val="00695BF6"/>
    <w:rsid w:val="00696297"/>
    <w:rsid w:val="00696619"/>
    <w:rsid w:val="00696B39"/>
    <w:rsid w:val="0069742D"/>
    <w:rsid w:val="00697B99"/>
    <w:rsid w:val="006A0791"/>
    <w:rsid w:val="006A2249"/>
    <w:rsid w:val="006A27E2"/>
    <w:rsid w:val="006A4485"/>
    <w:rsid w:val="006A4889"/>
    <w:rsid w:val="006A4A97"/>
    <w:rsid w:val="006A4E5C"/>
    <w:rsid w:val="006A4FE1"/>
    <w:rsid w:val="006A5207"/>
    <w:rsid w:val="006A571A"/>
    <w:rsid w:val="006A6669"/>
    <w:rsid w:val="006B2CB5"/>
    <w:rsid w:val="006B344D"/>
    <w:rsid w:val="006B345B"/>
    <w:rsid w:val="006B4CBF"/>
    <w:rsid w:val="006B4F78"/>
    <w:rsid w:val="006C1072"/>
    <w:rsid w:val="006C1314"/>
    <w:rsid w:val="006C1494"/>
    <w:rsid w:val="006C3B51"/>
    <w:rsid w:val="006C3E1F"/>
    <w:rsid w:val="006C4809"/>
    <w:rsid w:val="006C4A90"/>
    <w:rsid w:val="006C4D3B"/>
    <w:rsid w:val="006C5039"/>
    <w:rsid w:val="006C5495"/>
    <w:rsid w:val="006C5966"/>
    <w:rsid w:val="006C5C1B"/>
    <w:rsid w:val="006C694C"/>
    <w:rsid w:val="006C722B"/>
    <w:rsid w:val="006C77BA"/>
    <w:rsid w:val="006C78E6"/>
    <w:rsid w:val="006D00C3"/>
    <w:rsid w:val="006D2243"/>
    <w:rsid w:val="006D2269"/>
    <w:rsid w:val="006D23C4"/>
    <w:rsid w:val="006D28E5"/>
    <w:rsid w:val="006D2F62"/>
    <w:rsid w:val="006D3999"/>
    <w:rsid w:val="006D4A4D"/>
    <w:rsid w:val="006D4B9C"/>
    <w:rsid w:val="006D586C"/>
    <w:rsid w:val="006D6C82"/>
    <w:rsid w:val="006D7B39"/>
    <w:rsid w:val="006D7D4C"/>
    <w:rsid w:val="006D7DCA"/>
    <w:rsid w:val="006E0A24"/>
    <w:rsid w:val="006E0D04"/>
    <w:rsid w:val="006E1490"/>
    <w:rsid w:val="006E22FC"/>
    <w:rsid w:val="006E38A9"/>
    <w:rsid w:val="006E3AB8"/>
    <w:rsid w:val="006E430D"/>
    <w:rsid w:val="006E4557"/>
    <w:rsid w:val="006E4791"/>
    <w:rsid w:val="006E4E5B"/>
    <w:rsid w:val="006E5165"/>
    <w:rsid w:val="006E59EC"/>
    <w:rsid w:val="006E5B46"/>
    <w:rsid w:val="006E5FC9"/>
    <w:rsid w:val="006E6CF8"/>
    <w:rsid w:val="006E6F98"/>
    <w:rsid w:val="006E7114"/>
    <w:rsid w:val="006E776D"/>
    <w:rsid w:val="006E7CCF"/>
    <w:rsid w:val="006E7F46"/>
    <w:rsid w:val="006F032B"/>
    <w:rsid w:val="006F0344"/>
    <w:rsid w:val="006F0DF2"/>
    <w:rsid w:val="006F1596"/>
    <w:rsid w:val="006F24C8"/>
    <w:rsid w:val="006F2C3C"/>
    <w:rsid w:val="006F2CEA"/>
    <w:rsid w:val="006F37D1"/>
    <w:rsid w:val="006F3D63"/>
    <w:rsid w:val="006F3E96"/>
    <w:rsid w:val="006F3F95"/>
    <w:rsid w:val="006F46B6"/>
    <w:rsid w:val="006F4777"/>
    <w:rsid w:val="006F4EFD"/>
    <w:rsid w:val="006F5137"/>
    <w:rsid w:val="006F6BF0"/>
    <w:rsid w:val="006F6D58"/>
    <w:rsid w:val="006F7456"/>
    <w:rsid w:val="0070169F"/>
    <w:rsid w:val="00702304"/>
    <w:rsid w:val="007023B6"/>
    <w:rsid w:val="007028CE"/>
    <w:rsid w:val="00702FC4"/>
    <w:rsid w:val="00703740"/>
    <w:rsid w:val="00703CF0"/>
    <w:rsid w:val="00704A40"/>
    <w:rsid w:val="00706605"/>
    <w:rsid w:val="007066C8"/>
    <w:rsid w:val="007077E8"/>
    <w:rsid w:val="00707AE0"/>
    <w:rsid w:val="00710157"/>
    <w:rsid w:val="007103BC"/>
    <w:rsid w:val="0071083B"/>
    <w:rsid w:val="00710A20"/>
    <w:rsid w:val="00711023"/>
    <w:rsid w:val="00711860"/>
    <w:rsid w:val="007118EC"/>
    <w:rsid w:val="00711B32"/>
    <w:rsid w:val="0071306F"/>
    <w:rsid w:val="0071315D"/>
    <w:rsid w:val="0071459D"/>
    <w:rsid w:val="00714FEA"/>
    <w:rsid w:val="007152AD"/>
    <w:rsid w:val="007156B7"/>
    <w:rsid w:val="00716AB3"/>
    <w:rsid w:val="00722793"/>
    <w:rsid w:val="0072279F"/>
    <w:rsid w:val="0072349B"/>
    <w:rsid w:val="0072402A"/>
    <w:rsid w:val="007240D7"/>
    <w:rsid w:val="0072449F"/>
    <w:rsid w:val="00724DD9"/>
    <w:rsid w:val="00725251"/>
    <w:rsid w:val="007256CD"/>
    <w:rsid w:val="00725B0F"/>
    <w:rsid w:val="00725DE6"/>
    <w:rsid w:val="00726340"/>
    <w:rsid w:val="00730A8B"/>
    <w:rsid w:val="00731600"/>
    <w:rsid w:val="00731BCA"/>
    <w:rsid w:val="00731F7E"/>
    <w:rsid w:val="00732DE5"/>
    <w:rsid w:val="007331B0"/>
    <w:rsid w:val="00734047"/>
    <w:rsid w:val="007340F9"/>
    <w:rsid w:val="00735944"/>
    <w:rsid w:val="00735E94"/>
    <w:rsid w:val="00736C9E"/>
    <w:rsid w:val="00736D67"/>
    <w:rsid w:val="007372D8"/>
    <w:rsid w:val="00737EE4"/>
    <w:rsid w:val="007405DA"/>
    <w:rsid w:val="00740A84"/>
    <w:rsid w:val="00740B59"/>
    <w:rsid w:val="00741CF8"/>
    <w:rsid w:val="00741EA8"/>
    <w:rsid w:val="0074204F"/>
    <w:rsid w:val="00742275"/>
    <w:rsid w:val="007425CC"/>
    <w:rsid w:val="0074330A"/>
    <w:rsid w:val="007448E6"/>
    <w:rsid w:val="0074527D"/>
    <w:rsid w:val="00746BED"/>
    <w:rsid w:val="007501D1"/>
    <w:rsid w:val="00751AED"/>
    <w:rsid w:val="00752764"/>
    <w:rsid w:val="00752912"/>
    <w:rsid w:val="00753BFE"/>
    <w:rsid w:val="00754CF2"/>
    <w:rsid w:val="0075511E"/>
    <w:rsid w:val="00755F34"/>
    <w:rsid w:val="00756237"/>
    <w:rsid w:val="007577B1"/>
    <w:rsid w:val="0076027F"/>
    <w:rsid w:val="00760F82"/>
    <w:rsid w:val="00761465"/>
    <w:rsid w:val="0076251E"/>
    <w:rsid w:val="00762E69"/>
    <w:rsid w:val="00763458"/>
    <w:rsid w:val="00763D60"/>
    <w:rsid w:val="00765734"/>
    <w:rsid w:val="007661DF"/>
    <w:rsid w:val="007703C7"/>
    <w:rsid w:val="00770FDE"/>
    <w:rsid w:val="00770FFA"/>
    <w:rsid w:val="00771311"/>
    <w:rsid w:val="00771B95"/>
    <w:rsid w:val="00772A87"/>
    <w:rsid w:val="00774897"/>
    <w:rsid w:val="00774DC0"/>
    <w:rsid w:val="00774E66"/>
    <w:rsid w:val="007754D7"/>
    <w:rsid w:val="00775E8B"/>
    <w:rsid w:val="007768AF"/>
    <w:rsid w:val="00776C7B"/>
    <w:rsid w:val="007771E8"/>
    <w:rsid w:val="0078010C"/>
    <w:rsid w:val="00780F65"/>
    <w:rsid w:val="0078189C"/>
    <w:rsid w:val="0078199F"/>
    <w:rsid w:val="00781B82"/>
    <w:rsid w:val="00781DB7"/>
    <w:rsid w:val="00781DD7"/>
    <w:rsid w:val="007829F6"/>
    <w:rsid w:val="007838BB"/>
    <w:rsid w:val="00784075"/>
    <w:rsid w:val="007852F0"/>
    <w:rsid w:val="0078701F"/>
    <w:rsid w:val="0078718E"/>
    <w:rsid w:val="00787391"/>
    <w:rsid w:val="00787DEE"/>
    <w:rsid w:val="00791275"/>
    <w:rsid w:val="007913DD"/>
    <w:rsid w:val="00792F0C"/>
    <w:rsid w:val="00794814"/>
    <w:rsid w:val="00794C9F"/>
    <w:rsid w:val="00794EB7"/>
    <w:rsid w:val="00795122"/>
    <w:rsid w:val="00795934"/>
    <w:rsid w:val="00795DDF"/>
    <w:rsid w:val="0079668F"/>
    <w:rsid w:val="00796EF2"/>
    <w:rsid w:val="00797A92"/>
    <w:rsid w:val="00797ABB"/>
    <w:rsid w:val="007A026E"/>
    <w:rsid w:val="007A154B"/>
    <w:rsid w:val="007A5AC7"/>
    <w:rsid w:val="007A5C3F"/>
    <w:rsid w:val="007A64E8"/>
    <w:rsid w:val="007A7F39"/>
    <w:rsid w:val="007B06D9"/>
    <w:rsid w:val="007B0B3E"/>
    <w:rsid w:val="007B24D3"/>
    <w:rsid w:val="007B26E5"/>
    <w:rsid w:val="007B2BDF"/>
    <w:rsid w:val="007B40B2"/>
    <w:rsid w:val="007B4188"/>
    <w:rsid w:val="007B426C"/>
    <w:rsid w:val="007B4505"/>
    <w:rsid w:val="007B4CCE"/>
    <w:rsid w:val="007B54C7"/>
    <w:rsid w:val="007B70C1"/>
    <w:rsid w:val="007C1859"/>
    <w:rsid w:val="007C2170"/>
    <w:rsid w:val="007C2F5E"/>
    <w:rsid w:val="007C3058"/>
    <w:rsid w:val="007C34E6"/>
    <w:rsid w:val="007C39D6"/>
    <w:rsid w:val="007C3C33"/>
    <w:rsid w:val="007C4330"/>
    <w:rsid w:val="007C4E49"/>
    <w:rsid w:val="007C5027"/>
    <w:rsid w:val="007C7466"/>
    <w:rsid w:val="007D0C11"/>
    <w:rsid w:val="007D23AB"/>
    <w:rsid w:val="007D3752"/>
    <w:rsid w:val="007D3B49"/>
    <w:rsid w:val="007D5755"/>
    <w:rsid w:val="007D5AEF"/>
    <w:rsid w:val="007E0015"/>
    <w:rsid w:val="007E0320"/>
    <w:rsid w:val="007E07FC"/>
    <w:rsid w:val="007E38F8"/>
    <w:rsid w:val="007E4E69"/>
    <w:rsid w:val="007E734C"/>
    <w:rsid w:val="007E739F"/>
    <w:rsid w:val="007F02D1"/>
    <w:rsid w:val="007F13AD"/>
    <w:rsid w:val="007F177A"/>
    <w:rsid w:val="007F34BE"/>
    <w:rsid w:val="007F3C68"/>
    <w:rsid w:val="007F4EE2"/>
    <w:rsid w:val="007F531F"/>
    <w:rsid w:val="007F6383"/>
    <w:rsid w:val="00800C23"/>
    <w:rsid w:val="00801554"/>
    <w:rsid w:val="00801CF0"/>
    <w:rsid w:val="00802788"/>
    <w:rsid w:val="00804909"/>
    <w:rsid w:val="00804DE1"/>
    <w:rsid w:val="00805B71"/>
    <w:rsid w:val="008062DB"/>
    <w:rsid w:val="00807CF6"/>
    <w:rsid w:val="00807DC6"/>
    <w:rsid w:val="008100C0"/>
    <w:rsid w:val="00810566"/>
    <w:rsid w:val="00810E8C"/>
    <w:rsid w:val="00811AFA"/>
    <w:rsid w:val="00811E60"/>
    <w:rsid w:val="0081200A"/>
    <w:rsid w:val="008127EA"/>
    <w:rsid w:val="0081334B"/>
    <w:rsid w:val="00813AB0"/>
    <w:rsid w:val="00814367"/>
    <w:rsid w:val="008152E5"/>
    <w:rsid w:val="008153B2"/>
    <w:rsid w:val="0081660A"/>
    <w:rsid w:val="0081743B"/>
    <w:rsid w:val="00817F02"/>
    <w:rsid w:val="008209AF"/>
    <w:rsid w:val="008219CB"/>
    <w:rsid w:val="00822CEC"/>
    <w:rsid w:val="008232AD"/>
    <w:rsid w:val="008240F1"/>
    <w:rsid w:val="00824E07"/>
    <w:rsid w:val="008253FB"/>
    <w:rsid w:val="00827108"/>
    <w:rsid w:val="00827877"/>
    <w:rsid w:val="00827F20"/>
    <w:rsid w:val="008304AB"/>
    <w:rsid w:val="008306F4"/>
    <w:rsid w:val="008306F7"/>
    <w:rsid w:val="00830A80"/>
    <w:rsid w:val="00831675"/>
    <w:rsid w:val="008336E1"/>
    <w:rsid w:val="00834857"/>
    <w:rsid w:val="008354B8"/>
    <w:rsid w:val="008356BA"/>
    <w:rsid w:val="00835F3A"/>
    <w:rsid w:val="008369E3"/>
    <w:rsid w:val="00837B57"/>
    <w:rsid w:val="00837B97"/>
    <w:rsid w:val="00840016"/>
    <w:rsid w:val="00840780"/>
    <w:rsid w:val="008419A8"/>
    <w:rsid w:val="00842F14"/>
    <w:rsid w:val="008432D2"/>
    <w:rsid w:val="00844519"/>
    <w:rsid w:val="00844A02"/>
    <w:rsid w:val="00844B53"/>
    <w:rsid w:val="0084638F"/>
    <w:rsid w:val="00846990"/>
    <w:rsid w:val="00846E9A"/>
    <w:rsid w:val="00847185"/>
    <w:rsid w:val="00847346"/>
    <w:rsid w:val="00847419"/>
    <w:rsid w:val="00847A01"/>
    <w:rsid w:val="008509AE"/>
    <w:rsid w:val="008536B5"/>
    <w:rsid w:val="0085558F"/>
    <w:rsid w:val="00855EAD"/>
    <w:rsid w:val="00856C62"/>
    <w:rsid w:val="00860B75"/>
    <w:rsid w:val="00861CD1"/>
    <w:rsid w:val="00862240"/>
    <w:rsid w:val="00862680"/>
    <w:rsid w:val="0086373A"/>
    <w:rsid w:val="00865239"/>
    <w:rsid w:val="008661B6"/>
    <w:rsid w:val="008665E4"/>
    <w:rsid w:val="008703B6"/>
    <w:rsid w:val="0087204B"/>
    <w:rsid w:val="0087230F"/>
    <w:rsid w:val="00872818"/>
    <w:rsid w:val="008759C0"/>
    <w:rsid w:val="008760FA"/>
    <w:rsid w:val="00876BAC"/>
    <w:rsid w:val="00877327"/>
    <w:rsid w:val="00881842"/>
    <w:rsid w:val="00881984"/>
    <w:rsid w:val="00881CA7"/>
    <w:rsid w:val="00881D59"/>
    <w:rsid w:val="0088212A"/>
    <w:rsid w:val="00882819"/>
    <w:rsid w:val="00882D44"/>
    <w:rsid w:val="00882F7C"/>
    <w:rsid w:val="0088336C"/>
    <w:rsid w:val="0088355E"/>
    <w:rsid w:val="00883C3A"/>
    <w:rsid w:val="008843A4"/>
    <w:rsid w:val="00884444"/>
    <w:rsid w:val="00884583"/>
    <w:rsid w:val="00885620"/>
    <w:rsid w:val="008866C1"/>
    <w:rsid w:val="00887112"/>
    <w:rsid w:val="00887569"/>
    <w:rsid w:val="00887658"/>
    <w:rsid w:val="00890559"/>
    <w:rsid w:val="0089058D"/>
    <w:rsid w:val="00891440"/>
    <w:rsid w:val="008915CA"/>
    <w:rsid w:val="0089201D"/>
    <w:rsid w:val="00892A4F"/>
    <w:rsid w:val="008936CB"/>
    <w:rsid w:val="00893CD7"/>
    <w:rsid w:val="00893D11"/>
    <w:rsid w:val="00893D16"/>
    <w:rsid w:val="00894285"/>
    <w:rsid w:val="0089444F"/>
    <w:rsid w:val="00895A72"/>
    <w:rsid w:val="008969E1"/>
    <w:rsid w:val="008977D4"/>
    <w:rsid w:val="008A05CA"/>
    <w:rsid w:val="008A0CC1"/>
    <w:rsid w:val="008A13A6"/>
    <w:rsid w:val="008A164C"/>
    <w:rsid w:val="008A1A5C"/>
    <w:rsid w:val="008A1B74"/>
    <w:rsid w:val="008A2135"/>
    <w:rsid w:val="008A2368"/>
    <w:rsid w:val="008A255F"/>
    <w:rsid w:val="008A50A1"/>
    <w:rsid w:val="008A5526"/>
    <w:rsid w:val="008A5FE1"/>
    <w:rsid w:val="008A5FE8"/>
    <w:rsid w:val="008A6C39"/>
    <w:rsid w:val="008A7A3E"/>
    <w:rsid w:val="008B008F"/>
    <w:rsid w:val="008B0B2B"/>
    <w:rsid w:val="008B0B9E"/>
    <w:rsid w:val="008B0FB4"/>
    <w:rsid w:val="008B10C8"/>
    <w:rsid w:val="008B2116"/>
    <w:rsid w:val="008B2510"/>
    <w:rsid w:val="008B3172"/>
    <w:rsid w:val="008B33BB"/>
    <w:rsid w:val="008B3EE4"/>
    <w:rsid w:val="008B3F21"/>
    <w:rsid w:val="008B49E3"/>
    <w:rsid w:val="008B543B"/>
    <w:rsid w:val="008B58D5"/>
    <w:rsid w:val="008B5BBB"/>
    <w:rsid w:val="008B5F66"/>
    <w:rsid w:val="008B6342"/>
    <w:rsid w:val="008B68EB"/>
    <w:rsid w:val="008B7CD5"/>
    <w:rsid w:val="008C015A"/>
    <w:rsid w:val="008C0197"/>
    <w:rsid w:val="008C0319"/>
    <w:rsid w:val="008C03C3"/>
    <w:rsid w:val="008C0FDA"/>
    <w:rsid w:val="008C178A"/>
    <w:rsid w:val="008C2193"/>
    <w:rsid w:val="008C2AAD"/>
    <w:rsid w:val="008C2FF8"/>
    <w:rsid w:val="008C4EE8"/>
    <w:rsid w:val="008C56E1"/>
    <w:rsid w:val="008C58A1"/>
    <w:rsid w:val="008C6E92"/>
    <w:rsid w:val="008C742C"/>
    <w:rsid w:val="008C7A87"/>
    <w:rsid w:val="008D0225"/>
    <w:rsid w:val="008D030F"/>
    <w:rsid w:val="008D213C"/>
    <w:rsid w:val="008D26C9"/>
    <w:rsid w:val="008D344D"/>
    <w:rsid w:val="008D3CA1"/>
    <w:rsid w:val="008D3EF8"/>
    <w:rsid w:val="008D3F8A"/>
    <w:rsid w:val="008D42CB"/>
    <w:rsid w:val="008D45DE"/>
    <w:rsid w:val="008D46A0"/>
    <w:rsid w:val="008D61AB"/>
    <w:rsid w:val="008D6A52"/>
    <w:rsid w:val="008D71E5"/>
    <w:rsid w:val="008D726B"/>
    <w:rsid w:val="008E19CE"/>
    <w:rsid w:val="008E230B"/>
    <w:rsid w:val="008E27DC"/>
    <w:rsid w:val="008E300A"/>
    <w:rsid w:val="008E3549"/>
    <w:rsid w:val="008E3A61"/>
    <w:rsid w:val="008E4809"/>
    <w:rsid w:val="008E48BA"/>
    <w:rsid w:val="008E4967"/>
    <w:rsid w:val="008E6AA1"/>
    <w:rsid w:val="008E7225"/>
    <w:rsid w:val="008E77A7"/>
    <w:rsid w:val="008F02B0"/>
    <w:rsid w:val="008F1874"/>
    <w:rsid w:val="008F1CB5"/>
    <w:rsid w:val="008F2986"/>
    <w:rsid w:val="008F55F8"/>
    <w:rsid w:val="008F615C"/>
    <w:rsid w:val="008F66FB"/>
    <w:rsid w:val="00900951"/>
    <w:rsid w:val="00902329"/>
    <w:rsid w:val="00903285"/>
    <w:rsid w:val="009049DE"/>
    <w:rsid w:val="00904D6B"/>
    <w:rsid w:val="00905DAD"/>
    <w:rsid w:val="00905E10"/>
    <w:rsid w:val="00906D28"/>
    <w:rsid w:val="0090713C"/>
    <w:rsid w:val="0090755F"/>
    <w:rsid w:val="009077C6"/>
    <w:rsid w:val="009102ED"/>
    <w:rsid w:val="009109FA"/>
    <w:rsid w:val="00910B28"/>
    <w:rsid w:val="00911405"/>
    <w:rsid w:val="00912237"/>
    <w:rsid w:val="0091225F"/>
    <w:rsid w:val="00914F3B"/>
    <w:rsid w:val="00915D61"/>
    <w:rsid w:val="00915FD6"/>
    <w:rsid w:val="00917A59"/>
    <w:rsid w:val="009209A5"/>
    <w:rsid w:val="00921727"/>
    <w:rsid w:val="0092191A"/>
    <w:rsid w:val="0092266C"/>
    <w:rsid w:val="00922752"/>
    <w:rsid w:val="009231FE"/>
    <w:rsid w:val="0092373C"/>
    <w:rsid w:val="00923D79"/>
    <w:rsid w:val="0092414C"/>
    <w:rsid w:val="00924727"/>
    <w:rsid w:val="00924C59"/>
    <w:rsid w:val="009252B2"/>
    <w:rsid w:val="0092624E"/>
    <w:rsid w:val="00926401"/>
    <w:rsid w:val="0093145A"/>
    <w:rsid w:val="00931811"/>
    <w:rsid w:val="00931FC3"/>
    <w:rsid w:val="0093233A"/>
    <w:rsid w:val="009327A8"/>
    <w:rsid w:val="00932CE8"/>
    <w:rsid w:val="0093363A"/>
    <w:rsid w:val="009345C5"/>
    <w:rsid w:val="00934719"/>
    <w:rsid w:val="00936C57"/>
    <w:rsid w:val="00937059"/>
    <w:rsid w:val="009401CC"/>
    <w:rsid w:val="009405EB"/>
    <w:rsid w:val="00940902"/>
    <w:rsid w:val="00940985"/>
    <w:rsid w:val="00941337"/>
    <w:rsid w:val="00941488"/>
    <w:rsid w:val="00942681"/>
    <w:rsid w:val="0094345F"/>
    <w:rsid w:val="009438FF"/>
    <w:rsid w:val="00943C8B"/>
    <w:rsid w:val="00943E33"/>
    <w:rsid w:val="00944425"/>
    <w:rsid w:val="009444C5"/>
    <w:rsid w:val="009456ED"/>
    <w:rsid w:val="00945C29"/>
    <w:rsid w:val="009516F6"/>
    <w:rsid w:val="00951CE5"/>
    <w:rsid w:val="00952377"/>
    <w:rsid w:val="00952425"/>
    <w:rsid w:val="0095269D"/>
    <w:rsid w:val="009526DA"/>
    <w:rsid w:val="00954BC6"/>
    <w:rsid w:val="009554DC"/>
    <w:rsid w:val="00955E5B"/>
    <w:rsid w:val="00956C9B"/>
    <w:rsid w:val="00956F39"/>
    <w:rsid w:val="0096047C"/>
    <w:rsid w:val="00960D7F"/>
    <w:rsid w:val="009616B5"/>
    <w:rsid w:val="00961FA5"/>
    <w:rsid w:val="00962B3B"/>
    <w:rsid w:val="00962D21"/>
    <w:rsid w:val="00962EE5"/>
    <w:rsid w:val="00962FE6"/>
    <w:rsid w:val="009641FB"/>
    <w:rsid w:val="00964975"/>
    <w:rsid w:val="0096558D"/>
    <w:rsid w:val="009657AF"/>
    <w:rsid w:val="00965E14"/>
    <w:rsid w:val="00967A89"/>
    <w:rsid w:val="009742D8"/>
    <w:rsid w:val="0097473C"/>
    <w:rsid w:val="00975120"/>
    <w:rsid w:val="009754E7"/>
    <w:rsid w:val="00976432"/>
    <w:rsid w:val="009779EB"/>
    <w:rsid w:val="009804F5"/>
    <w:rsid w:val="00980C98"/>
    <w:rsid w:val="0098110D"/>
    <w:rsid w:val="00981E05"/>
    <w:rsid w:val="00985129"/>
    <w:rsid w:val="0098629D"/>
    <w:rsid w:val="0098734D"/>
    <w:rsid w:val="0098754C"/>
    <w:rsid w:val="0099037B"/>
    <w:rsid w:val="00990DDB"/>
    <w:rsid w:val="00991F2B"/>
    <w:rsid w:val="00992D9A"/>
    <w:rsid w:val="009931B0"/>
    <w:rsid w:val="0099410E"/>
    <w:rsid w:val="00995BA4"/>
    <w:rsid w:val="009969EB"/>
    <w:rsid w:val="00997029"/>
    <w:rsid w:val="00997081"/>
    <w:rsid w:val="009A0863"/>
    <w:rsid w:val="009A0906"/>
    <w:rsid w:val="009A20D2"/>
    <w:rsid w:val="009A233E"/>
    <w:rsid w:val="009A2373"/>
    <w:rsid w:val="009A25AE"/>
    <w:rsid w:val="009A280A"/>
    <w:rsid w:val="009A2813"/>
    <w:rsid w:val="009A33FC"/>
    <w:rsid w:val="009A34E3"/>
    <w:rsid w:val="009A553C"/>
    <w:rsid w:val="009A672E"/>
    <w:rsid w:val="009A767D"/>
    <w:rsid w:val="009A7DCC"/>
    <w:rsid w:val="009B14BE"/>
    <w:rsid w:val="009B1839"/>
    <w:rsid w:val="009B1D6D"/>
    <w:rsid w:val="009B1DD9"/>
    <w:rsid w:val="009B2315"/>
    <w:rsid w:val="009B286F"/>
    <w:rsid w:val="009B2B5B"/>
    <w:rsid w:val="009B2CFA"/>
    <w:rsid w:val="009B2F59"/>
    <w:rsid w:val="009B399F"/>
    <w:rsid w:val="009B4D3C"/>
    <w:rsid w:val="009B551C"/>
    <w:rsid w:val="009B5C62"/>
    <w:rsid w:val="009B6888"/>
    <w:rsid w:val="009B77B2"/>
    <w:rsid w:val="009C0049"/>
    <w:rsid w:val="009C0B27"/>
    <w:rsid w:val="009C0EF8"/>
    <w:rsid w:val="009C0F99"/>
    <w:rsid w:val="009C1B31"/>
    <w:rsid w:val="009C1E1D"/>
    <w:rsid w:val="009C37E9"/>
    <w:rsid w:val="009C3A40"/>
    <w:rsid w:val="009C3D79"/>
    <w:rsid w:val="009C4905"/>
    <w:rsid w:val="009C4F87"/>
    <w:rsid w:val="009C6020"/>
    <w:rsid w:val="009C6478"/>
    <w:rsid w:val="009C713D"/>
    <w:rsid w:val="009C720B"/>
    <w:rsid w:val="009D030B"/>
    <w:rsid w:val="009D0371"/>
    <w:rsid w:val="009D1995"/>
    <w:rsid w:val="009D21BF"/>
    <w:rsid w:val="009D240F"/>
    <w:rsid w:val="009D2BF5"/>
    <w:rsid w:val="009D40E8"/>
    <w:rsid w:val="009D44CF"/>
    <w:rsid w:val="009D4ACD"/>
    <w:rsid w:val="009D4B45"/>
    <w:rsid w:val="009D63FC"/>
    <w:rsid w:val="009D6734"/>
    <w:rsid w:val="009D7662"/>
    <w:rsid w:val="009D7B39"/>
    <w:rsid w:val="009E13DD"/>
    <w:rsid w:val="009E1C6E"/>
    <w:rsid w:val="009E27BA"/>
    <w:rsid w:val="009E2FF0"/>
    <w:rsid w:val="009E3D87"/>
    <w:rsid w:val="009E40CE"/>
    <w:rsid w:val="009E43CA"/>
    <w:rsid w:val="009E48B0"/>
    <w:rsid w:val="009E5314"/>
    <w:rsid w:val="009E5C5D"/>
    <w:rsid w:val="009E630E"/>
    <w:rsid w:val="009E66C4"/>
    <w:rsid w:val="009E7166"/>
    <w:rsid w:val="009E766A"/>
    <w:rsid w:val="009F02EA"/>
    <w:rsid w:val="009F1EAB"/>
    <w:rsid w:val="009F1EFA"/>
    <w:rsid w:val="009F3214"/>
    <w:rsid w:val="009F33C6"/>
    <w:rsid w:val="009F3CAB"/>
    <w:rsid w:val="009F4171"/>
    <w:rsid w:val="009F4174"/>
    <w:rsid w:val="009F4BE9"/>
    <w:rsid w:val="009F4D67"/>
    <w:rsid w:val="009F4E3B"/>
    <w:rsid w:val="009F5094"/>
    <w:rsid w:val="009F661B"/>
    <w:rsid w:val="009F7162"/>
    <w:rsid w:val="009F724D"/>
    <w:rsid w:val="009F7E82"/>
    <w:rsid w:val="00A021AE"/>
    <w:rsid w:val="00A02F5C"/>
    <w:rsid w:val="00A035C0"/>
    <w:rsid w:val="00A041B7"/>
    <w:rsid w:val="00A043CC"/>
    <w:rsid w:val="00A04475"/>
    <w:rsid w:val="00A0499C"/>
    <w:rsid w:val="00A055B1"/>
    <w:rsid w:val="00A06641"/>
    <w:rsid w:val="00A066D1"/>
    <w:rsid w:val="00A06EA9"/>
    <w:rsid w:val="00A105A7"/>
    <w:rsid w:val="00A10C9C"/>
    <w:rsid w:val="00A10D74"/>
    <w:rsid w:val="00A11690"/>
    <w:rsid w:val="00A11C82"/>
    <w:rsid w:val="00A11E2C"/>
    <w:rsid w:val="00A11F5D"/>
    <w:rsid w:val="00A12A7F"/>
    <w:rsid w:val="00A13355"/>
    <w:rsid w:val="00A14896"/>
    <w:rsid w:val="00A14BD5"/>
    <w:rsid w:val="00A17574"/>
    <w:rsid w:val="00A17969"/>
    <w:rsid w:val="00A20AEC"/>
    <w:rsid w:val="00A21301"/>
    <w:rsid w:val="00A21574"/>
    <w:rsid w:val="00A223E4"/>
    <w:rsid w:val="00A2388D"/>
    <w:rsid w:val="00A24052"/>
    <w:rsid w:val="00A26245"/>
    <w:rsid w:val="00A262D4"/>
    <w:rsid w:val="00A26439"/>
    <w:rsid w:val="00A267BA"/>
    <w:rsid w:val="00A2687E"/>
    <w:rsid w:val="00A268AC"/>
    <w:rsid w:val="00A26DC9"/>
    <w:rsid w:val="00A26E86"/>
    <w:rsid w:val="00A27212"/>
    <w:rsid w:val="00A2767C"/>
    <w:rsid w:val="00A276ED"/>
    <w:rsid w:val="00A27919"/>
    <w:rsid w:val="00A30100"/>
    <w:rsid w:val="00A30753"/>
    <w:rsid w:val="00A31C5F"/>
    <w:rsid w:val="00A32F85"/>
    <w:rsid w:val="00A33DB9"/>
    <w:rsid w:val="00A348B8"/>
    <w:rsid w:val="00A3585D"/>
    <w:rsid w:val="00A3632C"/>
    <w:rsid w:val="00A36880"/>
    <w:rsid w:val="00A3693C"/>
    <w:rsid w:val="00A36A29"/>
    <w:rsid w:val="00A370A0"/>
    <w:rsid w:val="00A4093B"/>
    <w:rsid w:val="00A40A63"/>
    <w:rsid w:val="00A41352"/>
    <w:rsid w:val="00A417BD"/>
    <w:rsid w:val="00A41C1A"/>
    <w:rsid w:val="00A41CE5"/>
    <w:rsid w:val="00A423D6"/>
    <w:rsid w:val="00A42AA3"/>
    <w:rsid w:val="00A45D26"/>
    <w:rsid w:val="00A4608E"/>
    <w:rsid w:val="00A47B86"/>
    <w:rsid w:val="00A508EB"/>
    <w:rsid w:val="00A5093B"/>
    <w:rsid w:val="00A51763"/>
    <w:rsid w:val="00A51F1B"/>
    <w:rsid w:val="00A5231C"/>
    <w:rsid w:val="00A523C1"/>
    <w:rsid w:val="00A5241E"/>
    <w:rsid w:val="00A52AFA"/>
    <w:rsid w:val="00A54CEB"/>
    <w:rsid w:val="00A54F8D"/>
    <w:rsid w:val="00A552F7"/>
    <w:rsid w:val="00A55459"/>
    <w:rsid w:val="00A56514"/>
    <w:rsid w:val="00A571E2"/>
    <w:rsid w:val="00A60E4A"/>
    <w:rsid w:val="00A630C5"/>
    <w:rsid w:val="00A639F0"/>
    <w:rsid w:val="00A644C1"/>
    <w:rsid w:val="00A64575"/>
    <w:rsid w:val="00A65AFC"/>
    <w:rsid w:val="00A67550"/>
    <w:rsid w:val="00A718A6"/>
    <w:rsid w:val="00A72680"/>
    <w:rsid w:val="00A72940"/>
    <w:rsid w:val="00A72C49"/>
    <w:rsid w:val="00A72E3D"/>
    <w:rsid w:val="00A7312C"/>
    <w:rsid w:val="00A731E5"/>
    <w:rsid w:val="00A73DBA"/>
    <w:rsid w:val="00A742CB"/>
    <w:rsid w:val="00A76BFB"/>
    <w:rsid w:val="00A76EAF"/>
    <w:rsid w:val="00A76F07"/>
    <w:rsid w:val="00A7708E"/>
    <w:rsid w:val="00A778A1"/>
    <w:rsid w:val="00A77A65"/>
    <w:rsid w:val="00A80017"/>
    <w:rsid w:val="00A8049A"/>
    <w:rsid w:val="00A813C7"/>
    <w:rsid w:val="00A819BF"/>
    <w:rsid w:val="00A81CBC"/>
    <w:rsid w:val="00A82943"/>
    <w:rsid w:val="00A836EB"/>
    <w:rsid w:val="00A85182"/>
    <w:rsid w:val="00A854AB"/>
    <w:rsid w:val="00A85638"/>
    <w:rsid w:val="00A85845"/>
    <w:rsid w:val="00A860BF"/>
    <w:rsid w:val="00A867F4"/>
    <w:rsid w:val="00A86996"/>
    <w:rsid w:val="00A87063"/>
    <w:rsid w:val="00A91D14"/>
    <w:rsid w:val="00A9267E"/>
    <w:rsid w:val="00A95636"/>
    <w:rsid w:val="00A95A44"/>
    <w:rsid w:val="00A96F27"/>
    <w:rsid w:val="00A976B6"/>
    <w:rsid w:val="00AA13B2"/>
    <w:rsid w:val="00AA1F57"/>
    <w:rsid w:val="00AA2727"/>
    <w:rsid w:val="00AA5439"/>
    <w:rsid w:val="00AA65BF"/>
    <w:rsid w:val="00AA6930"/>
    <w:rsid w:val="00AA71F1"/>
    <w:rsid w:val="00AA7EB5"/>
    <w:rsid w:val="00AB0228"/>
    <w:rsid w:val="00AB0537"/>
    <w:rsid w:val="00AB0F3B"/>
    <w:rsid w:val="00AB1464"/>
    <w:rsid w:val="00AB25B6"/>
    <w:rsid w:val="00AB2893"/>
    <w:rsid w:val="00AB31FA"/>
    <w:rsid w:val="00AB340F"/>
    <w:rsid w:val="00AB3A97"/>
    <w:rsid w:val="00AB4095"/>
    <w:rsid w:val="00AB40C8"/>
    <w:rsid w:val="00AB4646"/>
    <w:rsid w:val="00AB4756"/>
    <w:rsid w:val="00AB56AA"/>
    <w:rsid w:val="00AB5A71"/>
    <w:rsid w:val="00AB5D65"/>
    <w:rsid w:val="00AB5E51"/>
    <w:rsid w:val="00AB63E5"/>
    <w:rsid w:val="00AB6C6E"/>
    <w:rsid w:val="00AB6F9B"/>
    <w:rsid w:val="00AB751D"/>
    <w:rsid w:val="00AB79B0"/>
    <w:rsid w:val="00AC0CBB"/>
    <w:rsid w:val="00AC1C31"/>
    <w:rsid w:val="00AC2FED"/>
    <w:rsid w:val="00AC47DA"/>
    <w:rsid w:val="00AC4DC0"/>
    <w:rsid w:val="00AC500E"/>
    <w:rsid w:val="00AC66CE"/>
    <w:rsid w:val="00AC6B84"/>
    <w:rsid w:val="00AC6BE4"/>
    <w:rsid w:val="00AD14DD"/>
    <w:rsid w:val="00AD172A"/>
    <w:rsid w:val="00AD24BD"/>
    <w:rsid w:val="00AD2C05"/>
    <w:rsid w:val="00AD3972"/>
    <w:rsid w:val="00AD4056"/>
    <w:rsid w:val="00AD6578"/>
    <w:rsid w:val="00AD66B4"/>
    <w:rsid w:val="00AD68DA"/>
    <w:rsid w:val="00AD6E85"/>
    <w:rsid w:val="00AD70AD"/>
    <w:rsid w:val="00AD7872"/>
    <w:rsid w:val="00AE31A4"/>
    <w:rsid w:val="00AE3E55"/>
    <w:rsid w:val="00AE4706"/>
    <w:rsid w:val="00AE491D"/>
    <w:rsid w:val="00AE4A9B"/>
    <w:rsid w:val="00AE5358"/>
    <w:rsid w:val="00AE69B5"/>
    <w:rsid w:val="00AE7837"/>
    <w:rsid w:val="00AE7A7F"/>
    <w:rsid w:val="00AE7DCF"/>
    <w:rsid w:val="00AF042A"/>
    <w:rsid w:val="00AF11BB"/>
    <w:rsid w:val="00AF13AB"/>
    <w:rsid w:val="00AF18EC"/>
    <w:rsid w:val="00AF1B57"/>
    <w:rsid w:val="00AF2B28"/>
    <w:rsid w:val="00AF30AB"/>
    <w:rsid w:val="00AF3D83"/>
    <w:rsid w:val="00AF45CC"/>
    <w:rsid w:val="00AF6AAA"/>
    <w:rsid w:val="00AF6BAB"/>
    <w:rsid w:val="00AF6F9C"/>
    <w:rsid w:val="00AF72E9"/>
    <w:rsid w:val="00AF7532"/>
    <w:rsid w:val="00AF75A5"/>
    <w:rsid w:val="00AF7E10"/>
    <w:rsid w:val="00B01A12"/>
    <w:rsid w:val="00B028F7"/>
    <w:rsid w:val="00B02D8D"/>
    <w:rsid w:val="00B030E1"/>
    <w:rsid w:val="00B03393"/>
    <w:rsid w:val="00B03FBB"/>
    <w:rsid w:val="00B047DA"/>
    <w:rsid w:val="00B051A6"/>
    <w:rsid w:val="00B05A49"/>
    <w:rsid w:val="00B05F0F"/>
    <w:rsid w:val="00B066F3"/>
    <w:rsid w:val="00B06ADF"/>
    <w:rsid w:val="00B0713C"/>
    <w:rsid w:val="00B10498"/>
    <w:rsid w:val="00B110E2"/>
    <w:rsid w:val="00B11617"/>
    <w:rsid w:val="00B1191B"/>
    <w:rsid w:val="00B11E2D"/>
    <w:rsid w:val="00B12422"/>
    <w:rsid w:val="00B12E71"/>
    <w:rsid w:val="00B133A4"/>
    <w:rsid w:val="00B137C4"/>
    <w:rsid w:val="00B13CA0"/>
    <w:rsid w:val="00B1498E"/>
    <w:rsid w:val="00B15963"/>
    <w:rsid w:val="00B16878"/>
    <w:rsid w:val="00B1689D"/>
    <w:rsid w:val="00B21350"/>
    <w:rsid w:val="00B21AA7"/>
    <w:rsid w:val="00B21E88"/>
    <w:rsid w:val="00B2294B"/>
    <w:rsid w:val="00B24160"/>
    <w:rsid w:val="00B24609"/>
    <w:rsid w:val="00B247ED"/>
    <w:rsid w:val="00B259BF"/>
    <w:rsid w:val="00B259D7"/>
    <w:rsid w:val="00B26C0C"/>
    <w:rsid w:val="00B26E4B"/>
    <w:rsid w:val="00B27C46"/>
    <w:rsid w:val="00B303E3"/>
    <w:rsid w:val="00B30FE8"/>
    <w:rsid w:val="00B31EB2"/>
    <w:rsid w:val="00B33B8E"/>
    <w:rsid w:val="00B34645"/>
    <w:rsid w:val="00B3512F"/>
    <w:rsid w:val="00B35527"/>
    <w:rsid w:val="00B35F90"/>
    <w:rsid w:val="00B36092"/>
    <w:rsid w:val="00B36797"/>
    <w:rsid w:val="00B36944"/>
    <w:rsid w:val="00B36DE7"/>
    <w:rsid w:val="00B37091"/>
    <w:rsid w:val="00B40A1F"/>
    <w:rsid w:val="00B42FD0"/>
    <w:rsid w:val="00B43FD8"/>
    <w:rsid w:val="00B44058"/>
    <w:rsid w:val="00B44366"/>
    <w:rsid w:val="00B44F4D"/>
    <w:rsid w:val="00B45D39"/>
    <w:rsid w:val="00B45ED2"/>
    <w:rsid w:val="00B4768E"/>
    <w:rsid w:val="00B5094A"/>
    <w:rsid w:val="00B50C28"/>
    <w:rsid w:val="00B50D57"/>
    <w:rsid w:val="00B51371"/>
    <w:rsid w:val="00B5179E"/>
    <w:rsid w:val="00B51A08"/>
    <w:rsid w:val="00B51BC3"/>
    <w:rsid w:val="00B51E18"/>
    <w:rsid w:val="00B52A28"/>
    <w:rsid w:val="00B53872"/>
    <w:rsid w:val="00B54043"/>
    <w:rsid w:val="00B540BF"/>
    <w:rsid w:val="00B55B0D"/>
    <w:rsid w:val="00B55B42"/>
    <w:rsid w:val="00B56635"/>
    <w:rsid w:val="00B56647"/>
    <w:rsid w:val="00B5694E"/>
    <w:rsid w:val="00B571A1"/>
    <w:rsid w:val="00B578DE"/>
    <w:rsid w:val="00B61C1F"/>
    <w:rsid w:val="00B61ED2"/>
    <w:rsid w:val="00B6251A"/>
    <w:rsid w:val="00B625B3"/>
    <w:rsid w:val="00B62ABA"/>
    <w:rsid w:val="00B62ADF"/>
    <w:rsid w:val="00B62ED2"/>
    <w:rsid w:val="00B63088"/>
    <w:rsid w:val="00B63D1D"/>
    <w:rsid w:val="00B64A19"/>
    <w:rsid w:val="00B65132"/>
    <w:rsid w:val="00B6539C"/>
    <w:rsid w:val="00B653A9"/>
    <w:rsid w:val="00B665A6"/>
    <w:rsid w:val="00B70538"/>
    <w:rsid w:val="00B7067E"/>
    <w:rsid w:val="00B707F8"/>
    <w:rsid w:val="00B7085A"/>
    <w:rsid w:val="00B719F8"/>
    <w:rsid w:val="00B7241C"/>
    <w:rsid w:val="00B72B15"/>
    <w:rsid w:val="00B73004"/>
    <w:rsid w:val="00B737EC"/>
    <w:rsid w:val="00B742E3"/>
    <w:rsid w:val="00B75189"/>
    <w:rsid w:val="00B751F9"/>
    <w:rsid w:val="00B75873"/>
    <w:rsid w:val="00B75994"/>
    <w:rsid w:val="00B77532"/>
    <w:rsid w:val="00B775A1"/>
    <w:rsid w:val="00B77D57"/>
    <w:rsid w:val="00B81CC0"/>
    <w:rsid w:val="00B82036"/>
    <w:rsid w:val="00B826F8"/>
    <w:rsid w:val="00B85BE8"/>
    <w:rsid w:val="00B86785"/>
    <w:rsid w:val="00B8693D"/>
    <w:rsid w:val="00B86F52"/>
    <w:rsid w:val="00B91195"/>
    <w:rsid w:val="00B918EB"/>
    <w:rsid w:val="00B91AED"/>
    <w:rsid w:val="00B94E18"/>
    <w:rsid w:val="00B95151"/>
    <w:rsid w:val="00B95553"/>
    <w:rsid w:val="00B957B0"/>
    <w:rsid w:val="00B96865"/>
    <w:rsid w:val="00B96A23"/>
    <w:rsid w:val="00BA0194"/>
    <w:rsid w:val="00BA044B"/>
    <w:rsid w:val="00BA2911"/>
    <w:rsid w:val="00BA35EB"/>
    <w:rsid w:val="00BA3755"/>
    <w:rsid w:val="00BA56A8"/>
    <w:rsid w:val="00BA5A01"/>
    <w:rsid w:val="00BA5DB5"/>
    <w:rsid w:val="00BA62C1"/>
    <w:rsid w:val="00BA6436"/>
    <w:rsid w:val="00BA6AFE"/>
    <w:rsid w:val="00BA6BE8"/>
    <w:rsid w:val="00BA7246"/>
    <w:rsid w:val="00BB18E1"/>
    <w:rsid w:val="00BB207D"/>
    <w:rsid w:val="00BB3E46"/>
    <w:rsid w:val="00BB3FF2"/>
    <w:rsid w:val="00BB52EC"/>
    <w:rsid w:val="00BB5D33"/>
    <w:rsid w:val="00BB609F"/>
    <w:rsid w:val="00BB7555"/>
    <w:rsid w:val="00BB76A8"/>
    <w:rsid w:val="00BB7D1C"/>
    <w:rsid w:val="00BB7E45"/>
    <w:rsid w:val="00BB7F57"/>
    <w:rsid w:val="00BC051F"/>
    <w:rsid w:val="00BC07BD"/>
    <w:rsid w:val="00BC0890"/>
    <w:rsid w:val="00BC0FBE"/>
    <w:rsid w:val="00BC370E"/>
    <w:rsid w:val="00BC4833"/>
    <w:rsid w:val="00BC4E72"/>
    <w:rsid w:val="00BC5303"/>
    <w:rsid w:val="00BC53F2"/>
    <w:rsid w:val="00BC5E35"/>
    <w:rsid w:val="00BC5EA7"/>
    <w:rsid w:val="00BC6FD7"/>
    <w:rsid w:val="00BD012D"/>
    <w:rsid w:val="00BD079A"/>
    <w:rsid w:val="00BD09D4"/>
    <w:rsid w:val="00BD0CE6"/>
    <w:rsid w:val="00BD1ED3"/>
    <w:rsid w:val="00BD2970"/>
    <w:rsid w:val="00BD32AB"/>
    <w:rsid w:val="00BD34E0"/>
    <w:rsid w:val="00BD4149"/>
    <w:rsid w:val="00BD5F13"/>
    <w:rsid w:val="00BD69B8"/>
    <w:rsid w:val="00BD7550"/>
    <w:rsid w:val="00BE056A"/>
    <w:rsid w:val="00BE07A0"/>
    <w:rsid w:val="00BE169E"/>
    <w:rsid w:val="00BE2420"/>
    <w:rsid w:val="00BE2AA1"/>
    <w:rsid w:val="00BE2DD4"/>
    <w:rsid w:val="00BE6ABA"/>
    <w:rsid w:val="00BE7009"/>
    <w:rsid w:val="00BE712B"/>
    <w:rsid w:val="00BF048D"/>
    <w:rsid w:val="00BF0B74"/>
    <w:rsid w:val="00BF154D"/>
    <w:rsid w:val="00BF2131"/>
    <w:rsid w:val="00BF482F"/>
    <w:rsid w:val="00BF4BC0"/>
    <w:rsid w:val="00BF5E88"/>
    <w:rsid w:val="00BF65C5"/>
    <w:rsid w:val="00BF6A2C"/>
    <w:rsid w:val="00BF7410"/>
    <w:rsid w:val="00C0075F"/>
    <w:rsid w:val="00C02480"/>
    <w:rsid w:val="00C027B1"/>
    <w:rsid w:val="00C03CBE"/>
    <w:rsid w:val="00C047EA"/>
    <w:rsid w:val="00C05840"/>
    <w:rsid w:val="00C0592E"/>
    <w:rsid w:val="00C060D7"/>
    <w:rsid w:val="00C06F11"/>
    <w:rsid w:val="00C07EC5"/>
    <w:rsid w:val="00C10151"/>
    <w:rsid w:val="00C11885"/>
    <w:rsid w:val="00C1299F"/>
    <w:rsid w:val="00C15EA9"/>
    <w:rsid w:val="00C16176"/>
    <w:rsid w:val="00C1744E"/>
    <w:rsid w:val="00C2003F"/>
    <w:rsid w:val="00C207A3"/>
    <w:rsid w:val="00C20C2F"/>
    <w:rsid w:val="00C20DDE"/>
    <w:rsid w:val="00C21110"/>
    <w:rsid w:val="00C2117B"/>
    <w:rsid w:val="00C211D2"/>
    <w:rsid w:val="00C21AD4"/>
    <w:rsid w:val="00C21E11"/>
    <w:rsid w:val="00C22341"/>
    <w:rsid w:val="00C22C83"/>
    <w:rsid w:val="00C23192"/>
    <w:rsid w:val="00C23984"/>
    <w:rsid w:val="00C24000"/>
    <w:rsid w:val="00C2494F"/>
    <w:rsid w:val="00C256C6"/>
    <w:rsid w:val="00C25CFA"/>
    <w:rsid w:val="00C26A6D"/>
    <w:rsid w:val="00C27F08"/>
    <w:rsid w:val="00C30B2C"/>
    <w:rsid w:val="00C31260"/>
    <w:rsid w:val="00C31A62"/>
    <w:rsid w:val="00C32788"/>
    <w:rsid w:val="00C33129"/>
    <w:rsid w:val="00C3319D"/>
    <w:rsid w:val="00C34065"/>
    <w:rsid w:val="00C342C5"/>
    <w:rsid w:val="00C34BF8"/>
    <w:rsid w:val="00C40FBF"/>
    <w:rsid w:val="00C41057"/>
    <w:rsid w:val="00C41645"/>
    <w:rsid w:val="00C422F5"/>
    <w:rsid w:val="00C42919"/>
    <w:rsid w:val="00C4293F"/>
    <w:rsid w:val="00C4387C"/>
    <w:rsid w:val="00C43905"/>
    <w:rsid w:val="00C44195"/>
    <w:rsid w:val="00C44C8F"/>
    <w:rsid w:val="00C454A4"/>
    <w:rsid w:val="00C45A02"/>
    <w:rsid w:val="00C461BE"/>
    <w:rsid w:val="00C46E26"/>
    <w:rsid w:val="00C474E6"/>
    <w:rsid w:val="00C47632"/>
    <w:rsid w:val="00C47B5A"/>
    <w:rsid w:val="00C50647"/>
    <w:rsid w:val="00C5163B"/>
    <w:rsid w:val="00C5206C"/>
    <w:rsid w:val="00C524B8"/>
    <w:rsid w:val="00C55534"/>
    <w:rsid w:val="00C55B89"/>
    <w:rsid w:val="00C5602C"/>
    <w:rsid w:val="00C56A01"/>
    <w:rsid w:val="00C571C3"/>
    <w:rsid w:val="00C600FE"/>
    <w:rsid w:val="00C601D0"/>
    <w:rsid w:val="00C61CAD"/>
    <w:rsid w:val="00C62CA7"/>
    <w:rsid w:val="00C6408C"/>
    <w:rsid w:val="00C64B83"/>
    <w:rsid w:val="00C64CC1"/>
    <w:rsid w:val="00C66099"/>
    <w:rsid w:val="00C667B6"/>
    <w:rsid w:val="00C67437"/>
    <w:rsid w:val="00C71919"/>
    <w:rsid w:val="00C71CA0"/>
    <w:rsid w:val="00C72A9C"/>
    <w:rsid w:val="00C7308C"/>
    <w:rsid w:val="00C73665"/>
    <w:rsid w:val="00C73E5B"/>
    <w:rsid w:val="00C73F32"/>
    <w:rsid w:val="00C75ABC"/>
    <w:rsid w:val="00C7607B"/>
    <w:rsid w:val="00C76817"/>
    <w:rsid w:val="00C76929"/>
    <w:rsid w:val="00C77D67"/>
    <w:rsid w:val="00C77EDB"/>
    <w:rsid w:val="00C803A6"/>
    <w:rsid w:val="00C80B31"/>
    <w:rsid w:val="00C80FAD"/>
    <w:rsid w:val="00C8154E"/>
    <w:rsid w:val="00C83151"/>
    <w:rsid w:val="00C835A3"/>
    <w:rsid w:val="00C83628"/>
    <w:rsid w:val="00C846AD"/>
    <w:rsid w:val="00C85CEE"/>
    <w:rsid w:val="00C86566"/>
    <w:rsid w:val="00C872C1"/>
    <w:rsid w:val="00C876CF"/>
    <w:rsid w:val="00C876FD"/>
    <w:rsid w:val="00C90784"/>
    <w:rsid w:val="00C9110A"/>
    <w:rsid w:val="00C93398"/>
    <w:rsid w:val="00C9389A"/>
    <w:rsid w:val="00C93C57"/>
    <w:rsid w:val="00C94153"/>
    <w:rsid w:val="00C949B2"/>
    <w:rsid w:val="00C94AB7"/>
    <w:rsid w:val="00C94C95"/>
    <w:rsid w:val="00C9561E"/>
    <w:rsid w:val="00C96266"/>
    <w:rsid w:val="00C972EA"/>
    <w:rsid w:val="00C97360"/>
    <w:rsid w:val="00C97B31"/>
    <w:rsid w:val="00CA1F30"/>
    <w:rsid w:val="00CA411E"/>
    <w:rsid w:val="00CA4FD3"/>
    <w:rsid w:val="00CA5205"/>
    <w:rsid w:val="00CA6876"/>
    <w:rsid w:val="00CA71AC"/>
    <w:rsid w:val="00CA7334"/>
    <w:rsid w:val="00CA7CC8"/>
    <w:rsid w:val="00CB0C87"/>
    <w:rsid w:val="00CB16B6"/>
    <w:rsid w:val="00CB323B"/>
    <w:rsid w:val="00CB338A"/>
    <w:rsid w:val="00CB3E52"/>
    <w:rsid w:val="00CC02D6"/>
    <w:rsid w:val="00CC0400"/>
    <w:rsid w:val="00CC0F82"/>
    <w:rsid w:val="00CC39E8"/>
    <w:rsid w:val="00CC3A87"/>
    <w:rsid w:val="00CC430F"/>
    <w:rsid w:val="00CC53E9"/>
    <w:rsid w:val="00CC5515"/>
    <w:rsid w:val="00CC6004"/>
    <w:rsid w:val="00CC71D3"/>
    <w:rsid w:val="00CC7837"/>
    <w:rsid w:val="00CD00C6"/>
    <w:rsid w:val="00CD015E"/>
    <w:rsid w:val="00CD0A25"/>
    <w:rsid w:val="00CD0F14"/>
    <w:rsid w:val="00CD273B"/>
    <w:rsid w:val="00CD2F18"/>
    <w:rsid w:val="00CD441E"/>
    <w:rsid w:val="00CD4F53"/>
    <w:rsid w:val="00CD525C"/>
    <w:rsid w:val="00CD6490"/>
    <w:rsid w:val="00CD649F"/>
    <w:rsid w:val="00CD70A7"/>
    <w:rsid w:val="00CD7A24"/>
    <w:rsid w:val="00CE09E1"/>
    <w:rsid w:val="00CE638B"/>
    <w:rsid w:val="00CE6913"/>
    <w:rsid w:val="00CE706B"/>
    <w:rsid w:val="00CE7BCC"/>
    <w:rsid w:val="00CF01C5"/>
    <w:rsid w:val="00CF02D0"/>
    <w:rsid w:val="00CF04B0"/>
    <w:rsid w:val="00CF134B"/>
    <w:rsid w:val="00CF1E84"/>
    <w:rsid w:val="00CF1F7F"/>
    <w:rsid w:val="00CF2567"/>
    <w:rsid w:val="00CF3295"/>
    <w:rsid w:val="00CF476D"/>
    <w:rsid w:val="00CF50FB"/>
    <w:rsid w:val="00CF5972"/>
    <w:rsid w:val="00CF5B6A"/>
    <w:rsid w:val="00CF6112"/>
    <w:rsid w:val="00CF66B0"/>
    <w:rsid w:val="00CF6FCC"/>
    <w:rsid w:val="00CF7D5F"/>
    <w:rsid w:val="00D02614"/>
    <w:rsid w:val="00D03AFA"/>
    <w:rsid w:val="00D03BA7"/>
    <w:rsid w:val="00D047F2"/>
    <w:rsid w:val="00D048A6"/>
    <w:rsid w:val="00D0519A"/>
    <w:rsid w:val="00D0569F"/>
    <w:rsid w:val="00D056F9"/>
    <w:rsid w:val="00D06F55"/>
    <w:rsid w:val="00D070B6"/>
    <w:rsid w:val="00D10071"/>
    <w:rsid w:val="00D11D1B"/>
    <w:rsid w:val="00D12D1B"/>
    <w:rsid w:val="00D1347D"/>
    <w:rsid w:val="00D13BF9"/>
    <w:rsid w:val="00D146F0"/>
    <w:rsid w:val="00D1537A"/>
    <w:rsid w:val="00D153E0"/>
    <w:rsid w:val="00D15512"/>
    <w:rsid w:val="00D15D2A"/>
    <w:rsid w:val="00D1656D"/>
    <w:rsid w:val="00D1685E"/>
    <w:rsid w:val="00D16EB4"/>
    <w:rsid w:val="00D170D4"/>
    <w:rsid w:val="00D171B4"/>
    <w:rsid w:val="00D17524"/>
    <w:rsid w:val="00D20D07"/>
    <w:rsid w:val="00D2181D"/>
    <w:rsid w:val="00D2187F"/>
    <w:rsid w:val="00D21DF5"/>
    <w:rsid w:val="00D22B47"/>
    <w:rsid w:val="00D234B6"/>
    <w:rsid w:val="00D25074"/>
    <w:rsid w:val="00D25A40"/>
    <w:rsid w:val="00D27078"/>
    <w:rsid w:val="00D270F4"/>
    <w:rsid w:val="00D274E0"/>
    <w:rsid w:val="00D300D4"/>
    <w:rsid w:val="00D302F5"/>
    <w:rsid w:val="00D30673"/>
    <w:rsid w:val="00D316DD"/>
    <w:rsid w:val="00D32EF6"/>
    <w:rsid w:val="00D3469D"/>
    <w:rsid w:val="00D34B60"/>
    <w:rsid w:val="00D357EB"/>
    <w:rsid w:val="00D3603D"/>
    <w:rsid w:val="00D372A7"/>
    <w:rsid w:val="00D377A3"/>
    <w:rsid w:val="00D4008D"/>
    <w:rsid w:val="00D40A3F"/>
    <w:rsid w:val="00D40E24"/>
    <w:rsid w:val="00D413A8"/>
    <w:rsid w:val="00D415DB"/>
    <w:rsid w:val="00D425E7"/>
    <w:rsid w:val="00D43F79"/>
    <w:rsid w:val="00D44478"/>
    <w:rsid w:val="00D4476C"/>
    <w:rsid w:val="00D46A73"/>
    <w:rsid w:val="00D46ED4"/>
    <w:rsid w:val="00D47C6E"/>
    <w:rsid w:val="00D5088C"/>
    <w:rsid w:val="00D5097F"/>
    <w:rsid w:val="00D51587"/>
    <w:rsid w:val="00D51863"/>
    <w:rsid w:val="00D523E1"/>
    <w:rsid w:val="00D529C8"/>
    <w:rsid w:val="00D52F2E"/>
    <w:rsid w:val="00D53415"/>
    <w:rsid w:val="00D53ED6"/>
    <w:rsid w:val="00D54643"/>
    <w:rsid w:val="00D54AAA"/>
    <w:rsid w:val="00D54EFC"/>
    <w:rsid w:val="00D5569F"/>
    <w:rsid w:val="00D56E9C"/>
    <w:rsid w:val="00D60621"/>
    <w:rsid w:val="00D6136B"/>
    <w:rsid w:val="00D62928"/>
    <w:rsid w:val="00D6295E"/>
    <w:rsid w:val="00D63FE2"/>
    <w:rsid w:val="00D64059"/>
    <w:rsid w:val="00D66170"/>
    <w:rsid w:val="00D66E26"/>
    <w:rsid w:val="00D6764C"/>
    <w:rsid w:val="00D67D8F"/>
    <w:rsid w:val="00D70514"/>
    <w:rsid w:val="00D70708"/>
    <w:rsid w:val="00D70D25"/>
    <w:rsid w:val="00D71218"/>
    <w:rsid w:val="00D71559"/>
    <w:rsid w:val="00D717F9"/>
    <w:rsid w:val="00D72337"/>
    <w:rsid w:val="00D74188"/>
    <w:rsid w:val="00D74552"/>
    <w:rsid w:val="00D74AFE"/>
    <w:rsid w:val="00D75AE0"/>
    <w:rsid w:val="00D75C9E"/>
    <w:rsid w:val="00D76F84"/>
    <w:rsid w:val="00D771CD"/>
    <w:rsid w:val="00D773B9"/>
    <w:rsid w:val="00D8054F"/>
    <w:rsid w:val="00D80C60"/>
    <w:rsid w:val="00D81A31"/>
    <w:rsid w:val="00D82039"/>
    <w:rsid w:val="00D820BB"/>
    <w:rsid w:val="00D82B0F"/>
    <w:rsid w:val="00D83931"/>
    <w:rsid w:val="00D841DB"/>
    <w:rsid w:val="00D84B20"/>
    <w:rsid w:val="00D866A5"/>
    <w:rsid w:val="00D86769"/>
    <w:rsid w:val="00D87B8D"/>
    <w:rsid w:val="00D9179E"/>
    <w:rsid w:val="00D925CA"/>
    <w:rsid w:val="00D927F3"/>
    <w:rsid w:val="00D92832"/>
    <w:rsid w:val="00D92FD6"/>
    <w:rsid w:val="00D93796"/>
    <w:rsid w:val="00D937AA"/>
    <w:rsid w:val="00D94038"/>
    <w:rsid w:val="00D94517"/>
    <w:rsid w:val="00D94887"/>
    <w:rsid w:val="00D95811"/>
    <w:rsid w:val="00D95B6C"/>
    <w:rsid w:val="00D95C13"/>
    <w:rsid w:val="00D96D10"/>
    <w:rsid w:val="00D97333"/>
    <w:rsid w:val="00D97D6E"/>
    <w:rsid w:val="00DA059F"/>
    <w:rsid w:val="00DA13C5"/>
    <w:rsid w:val="00DA151C"/>
    <w:rsid w:val="00DA1DFB"/>
    <w:rsid w:val="00DA2636"/>
    <w:rsid w:val="00DA2757"/>
    <w:rsid w:val="00DA2F41"/>
    <w:rsid w:val="00DA31AC"/>
    <w:rsid w:val="00DA37DF"/>
    <w:rsid w:val="00DA4282"/>
    <w:rsid w:val="00DA42A3"/>
    <w:rsid w:val="00DA4D0C"/>
    <w:rsid w:val="00DA58C6"/>
    <w:rsid w:val="00DA6243"/>
    <w:rsid w:val="00DA6CBC"/>
    <w:rsid w:val="00DA7268"/>
    <w:rsid w:val="00DA778F"/>
    <w:rsid w:val="00DB0123"/>
    <w:rsid w:val="00DB0FDE"/>
    <w:rsid w:val="00DB1A36"/>
    <w:rsid w:val="00DB2359"/>
    <w:rsid w:val="00DB2DF9"/>
    <w:rsid w:val="00DB3290"/>
    <w:rsid w:val="00DB513A"/>
    <w:rsid w:val="00DB5621"/>
    <w:rsid w:val="00DC008B"/>
    <w:rsid w:val="00DC0160"/>
    <w:rsid w:val="00DC0EB1"/>
    <w:rsid w:val="00DC1262"/>
    <w:rsid w:val="00DC1324"/>
    <w:rsid w:val="00DC1568"/>
    <w:rsid w:val="00DC1B71"/>
    <w:rsid w:val="00DC1DDF"/>
    <w:rsid w:val="00DC1EB3"/>
    <w:rsid w:val="00DC21FC"/>
    <w:rsid w:val="00DC2D04"/>
    <w:rsid w:val="00DC2FA8"/>
    <w:rsid w:val="00DC3163"/>
    <w:rsid w:val="00DC4202"/>
    <w:rsid w:val="00DC45E5"/>
    <w:rsid w:val="00DC46EE"/>
    <w:rsid w:val="00DC4C13"/>
    <w:rsid w:val="00DC4DCF"/>
    <w:rsid w:val="00DC5228"/>
    <w:rsid w:val="00DC5595"/>
    <w:rsid w:val="00DC5640"/>
    <w:rsid w:val="00DC5F00"/>
    <w:rsid w:val="00DC7526"/>
    <w:rsid w:val="00DD02AC"/>
    <w:rsid w:val="00DD0892"/>
    <w:rsid w:val="00DD0FA1"/>
    <w:rsid w:val="00DD1433"/>
    <w:rsid w:val="00DD2042"/>
    <w:rsid w:val="00DD215A"/>
    <w:rsid w:val="00DD3633"/>
    <w:rsid w:val="00DD3D66"/>
    <w:rsid w:val="00DD4873"/>
    <w:rsid w:val="00DD535D"/>
    <w:rsid w:val="00DD596D"/>
    <w:rsid w:val="00DD5C6F"/>
    <w:rsid w:val="00DD67D8"/>
    <w:rsid w:val="00DD67DD"/>
    <w:rsid w:val="00DD7F69"/>
    <w:rsid w:val="00DE01BC"/>
    <w:rsid w:val="00DE1931"/>
    <w:rsid w:val="00DE2403"/>
    <w:rsid w:val="00DE2CC0"/>
    <w:rsid w:val="00DE49C2"/>
    <w:rsid w:val="00DE504B"/>
    <w:rsid w:val="00DE5DEB"/>
    <w:rsid w:val="00DE71D2"/>
    <w:rsid w:val="00DF0391"/>
    <w:rsid w:val="00DF08BF"/>
    <w:rsid w:val="00DF0922"/>
    <w:rsid w:val="00DF0EA6"/>
    <w:rsid w:val="00DF2912"/>
    <w:rsid w:val="00DF2A32"/>
    <w:rsid w:val="00DF3064"/>
    <w:rsid w:val="00DF3E40"/>
    <w:rsid w:val="00DF4260"/>
    <w:rsid w:val="00DF4CD1"/>
    <w:rsid w:val="00DF58CF"/>
    <w:rsid w:val="00DF5A91"/>
    <w:rsid w:val="00DF5B57"/>
    <w:rsid w:val="00DF691C"/>
    <w:rsid w:val="00DF7F53"/>
    <w:rsid w:val="00DF7FA7"/>
    <w:rsid w:val="00E0139A"/>
    <w:rsid w:val="00E0208C"/>
    <w:rsid w:val="00E04ABB"/>
    <w:rsid w:val="00E04B7F"/>
    <w:rsid w:val="00E059A5"/>
    <w:rsid w:val="00E05B7C"/>
    <w:rsid w:val="00E07DE7"/>
    <w:rsid w:val="00E10067"/>
    <w:rsid w:val="00E100AE"/>
    <w:rsid w:val="00E100DE"/>
    <w:rsid w:val="00E11FAE"/>
    <w:rsid w:val="00E12162"/>
    <w:rsid w:val="00E1472D"/>
    <w:rsid w:val="00E168CA"/>
    <w:rsid w:val="00E171B9"/>
    <w:rsid w:val="00E17B44"/>
    <w:rsid w:val="00E20255"/>
    <w:rsid w:val="00E217CB"/>
    <w:rsid w:val="00E21AEF"/>
    <w:rsid w:val="00E21FE4"/>
    <w:rsid w:val="00E223C5"/>
    <w:rsid w:val="00E23C68"/>
    <w:rsid w:val="00E2415B"/>
    <w:rsid w:val="00E24377"/>
    <w:rsid w:val="00E243AE"/>
    <w:rsid w:val="00E257F8"/>
    <w:rsid w:val="00E26784"/>
    <w:rsid w:val="00E26E56"/>
    <w:rsid w:val="00E278B2"/>
    <w:rsid w:val="00E27F1C"/>
    <w:rsid w:val="00E311D3"/>
    <w:rsid w:val="00E32B75"/>
    <w:rsid w:val="00E330D6"/>
    <w:rsid w:val="00E336C7"/>
    <w:rsid w:val="00E36296"/>
    <w:rsid w:val="00E37CE6"/>
    <w:rsid w:val="00E40261"/>
    <w:rsid w:val="00E404C5"/>
    <w:rsid w:val="00E406EF"/>
    <w:rsid w:val="00E408D5"/>
    <w:rsid w:val="00E40B2E"/>
    <w:rsid w:val="00E41B29"/>
    <w:rsid w:val="00E41E1B"/>
    <w:rsid w:val="00E428BC"/>
    <w:rsid w:val="00E435D2"/>
    <w:rsid w:val="00E44B2D"/>
    <w:rsid w:val="00E457C3"/>
    <w:rsid w:val="00E45BFE"/>
    <w:rsid w:val="00E4685E"/>
    <w:rsid w:val="00E473A3"/>
    <w:rsid w:val="00E47746"/>
    <w:rsid w:val="00E47FA2"/>
    <w:rsid w:val="00E502E6"/>
    <w:rsid w:val="00E50958"/>
    <w:rsid w:val="00E50F0F"/>
    <w:rsid w:val="00E5172A"/>
    <w:rsid w:val="00E51A34"/>
    <w:rsid w:val="00E51FFF"/>
    <w:rsid w:val="00E5272D"/>
    <w:rsid w:val="00E52B85"/>
    <w:rsid w:val="00E54C69"/>
    <w:rsid w:val="00E551E7"/>
    <w:rsid w:val="00E55E16"/>
    <w:rsid w:val="00E56D9F"/>
    <w:rsid w:val="00E57220"/>
    <w:rsid w:val="00E57530"/>
    <w:rsid w:val="00E57D65"/>
    <w:rsid w:val="00E62716"/>
    <w:rsid w:val="00E62BEB"/>
    <w:rsid w:val="00E64041"/>
    <w:rsid w:val="00E6492D"/>
    <w:rsid w:val="00E66821"/>
    <w:rsid w:val="00E67FDB"/>
    <w:rsid w:val="00E70282"/>
    <w:rsid w:val="00E71045"/>
    <w:rsid w:val="00E71F6C"/>
    <w:rsid w:val="00E71FD7"/>
    <w:rsid w:val="00E73CC0"/>
    <w:rsid w:val="00E74A23"/>
    <w:rsid w:val="00E7552E"/>
    <w:rsid w:val="00E757D1"/>
    <w:rsid w:val="00E75887"/>
    <w:rsid w:val="00E77009"/>
    <w:rsid w:val="00E77D72"/>
    <w:rsid w:val="00E80210"/>
    <w:rsid w:val="00E80242"/>
    <w:rsid w:val="00E804A7"/>
    <w:rsid w:val="00E80574"/>
    <w:rsid w:val="00E82467"/>
    <w:rsid w:val="00E82756"/>
    <w:rsid w:val="00E83922"/>
    <w:rsid w:val="00E841F7"/>
    <w:rsid w:val="00E85029"/>
    <w:rsid w:val="00E8552D"/>
    <w:rsid w:val="00E866D2"/>
    <w:rsid w:val="00E867D5"/>
    <w:rsid w:val="00E86E55"/>
    <w:rsid w:val="00E87A23"/>
    <w:rsid w:val="00E90886"/>
    <w:rsid w:val="00E91264"/>
    <w:rsid w:val="00E915F2"/>
    <w:rsid w:val="00E91B13"/>
    <w:rsid w:val="00E91D03"/>
    <w:rsid w:val="00E92079"/>
    <w:rsid w:val="00E92BC0"/>
    <w:rsid w:val="00E93DAE"/>
    <w:rsid w:val="00E93DB2"/>
    <w:rsid w:val="00E97110"/>
    <w:rsid w:val="00E97293"/>
    <w:rsid w:val="00E977DE"/>
    <w:rsid w:val="00E97A4D"/>
    <w:rsid w:val="00EA02A3"/>
    <w:rsid w:val="00EA20D5"/>
    <w:rsid w:val="00EA276C"/>
    <w:rsid w:val="00EA38CF"/>
    <w:rsid w:val="00EA497C"/>
    <w:rsid w:val="00EA52E4"/>
    <w:rsid w:val="00EA6F56"/>
    <w:rsid w:val="00EB09D2"/>
    <w:rsid w:val="00EB1606"/>
    <w:rsid w:val="00EB1C18"/>
    <w:rsid w:val="00EB1FEE"/>
    <w:rsid w:val="00EB2E6B"/>
    <w:rsid w:val="00EB3954"/>
    <w:rsid w:val="00EB3FD9"/>
    <w:rsid w:val="00EB440E"/>
    <w:rsid w:val="00EB4512"/>
    <w:rsid w:val="00EB53C8"/>
    <w:rsid w:val="00EB5D58"/>
    <w:rsid w:val="00EB6597"/>
    <w:rsid w:val="00EB7598"/>
    <w:rsid w:val="00EC04C7"/>
    <w:rsid w:val="00EC0FFB"/>
    <w:rsid w:val="00EC1452"/>
    <w:rsid w:val="00EC1469"/>
    <w:rsid w:val="00EC23D0"/>
    <w:rsid w:val="00EC3A72"/>
    <w:rsid w:val="00EC3CE8"/>
    <w:rsid w:val="00EC3F64"/>
    <w:rsid w:val="00EC64D0"/>
    <w:rsid w:val="00EC7505"/>
    <w:rsid w:val="00ED08F2"/>
    <w:rsid w:val="00ED16E5"/>
    <w:rsid w:val="00ED1B50"/>
    <w:rsid w:val="00ED28BE"/>
    <w:rsid w:val="00ED31C1"/>
    <w:rsid w:val="00ED4C59"/>
    <w:rsid w:val="00ED4D03"/>
    <w:rsid w:val="00ED4FD2"/>
    <w:rsid w:val="00ED7109"/>
    <w:rsid w:val="00ED7325"/>
    <w:rsid w:val="00ED75AB"/>
    <w:rsid w:val="00EE39BB"/>
    <w:rsid w:val="00EE3C22"/>
    <w:rsid w:val="00EE437E"/>
    <w:rsid w:val="00EE4527"/>
    <w:rsid w:val="00EE582D"/>
    <w:rsid w:val="00EE59DE"/>
    <w:rsid w:val="00EE5BFD"/>
    <w:rsid w:val="00EF1292"/>
    <w:rsid w:val="00EF1B7E"/>
    <w:rsid w:val="00EF2952"/>
    <w:rsid w:val="00EF2B9E"/>
    <w:rsid w:val="00EF2F0A"/>
    <w:rsid w:val="00EF338C"/>
    <w:rsid w:val="00EF3574"/>
    <w:rsid w:val="00EF462E"/>
    <w:rsid w:val="00EF4968"/>
    <w:rsid w:val="00EF4C8A"/>
    <w:rsid w:val="00EF5AC1"/>
    <w:rsid w:val="00EF61B7"/>
    <w:rsid w:val="00EF63DD"/>
    <w:rsid w:val="00EF7261"/>
    <w:rsid w:val="00F002C7"/>
    <w:rsid w:val="00F00A4C"/>
    <w:rsid w:val="00F00DD8"/>
    <w:rsid w:val="00F01237"/>
    <w:rsid w:val="00F016D6"/>
    <w:rsid w:val="00F031F8"/>
    <w:rsid w:val="00F033CF"/>
    <w:rsid w:val="00F034EB"/>
    <w:rsid w:val="00F03EFD"/>
    <w:rsid w:val="00F0417D"/>
    <w:rsid w:val="00F06399"/>
    <w:rsid w:val="00F06A53"/>
    <w:rsid w:val="00F06F31"/>
    <w:rsid w:val="00F07D6E"/>
    <w:rsid w:val="00F10176"/>
    <w:rsid w:val="00F10E87"/>
    <w:rsid w:val="00F11243"/>
    <w:rsid w:val="00F11365"/>
    <w:rsid w:val="00F11724"/>
    <w:rsid w:val="00F13106"/>
    <w:rsid w:val="00F14288"/>
    <w:rsid w:val="00F1483A"/>
    <w:rsid w:val="00F15B56"/>
    <w:rsid w:val="00F15BA9"/>
    <w:rsid w:val="00F161CB"/>
    <w:rsid w:val="00F20C47"/>
    <w:rsid w:val="00F20E1E"/>
    <w:rsid w:val="00F21E8E"/>
    <w:rsid w:val="00F22903"/>
    <w:rsid w:val="00F22A65"/>
    <w:rsid w:val="00F23394"/>
    <w:rsid w:val="00F233E8"/>
    <w:rsid w:val="00F25522"/>
    <w:rsid w:val="00F261A4"/>
    <w:rsid w:val="00F277C7"/>
    <w:rsid w:val="00F30575"/>
    <w:rsid w:val="00F30EA7"/>
    <w:rsid w:val="00F3139E"/>
    <w:rsid w:val="00F313FF"/>
    <w:rsid w:val="00F31924"/>
    <w:rsid w:val="00F31A92"/>
    <w:rsid w:val="00F31FF1"/>
    <w:rsid w:val="00F3267A"/>
    <w:rsid w:val="00F3403C"/>
    <w:rsid w:val="00F34698"/>
    <w:rsid w:val="00F35585"/>
    <w:rsid w:val="00F362DE"/>
    <w:rsid w:val="00F3743A"/>
    <w:rsid w:val="00F375AD"/>
    <w:rsid w:val="00F42B52"/>
    <w:rsid w:val="00F42C0D"/>
    <w:rsid w:val="00F43686"/>
    <w:rsid w:val="00F43DD8"/>
    <w:rsid w:val="00F4693E"/>
    <w:rsid w:val="00F46BA4"/>
    <w:rsid w:val="00F51DA2"/>
    <w:rsid w:val="00F51F93"/>
    <w:rsid w:val="00F5211D"/>
    <w:rsid w:val="00F52875"/>
    <w:rsid w:val="00F52D01"/>
    <w:rsid w:val="00F541E8"/>
    <w:rsid w:val="00F551A8"/>
    <w:rsid w:val="00F5558D"/>
    <w:rsid w:val="00F5574D"/>
    <w:rsid w:val="00F55804"/>
    <w:rsid w:val="00F563AC"/>
    <w:rsid w:val="00F569C8"/>
    <w:rsid w:val="00F569DE"/>
    <w:rsid w:val="00F5745A"/>
    <w:rsid w:val="00F6043D"/>
    <w:rsid w:val="00F608D3"/>
    <w:rsid w:val="00F60EA1"/>
    <w:rsid w:val="00F60EF1"/>
    <w:rsid w:val="00F6211F"/>
    <w:rsid w:val="00F63221"/>
    <w:rsid w:val="00F651EE"/>
    <w:rsid w:val="00F66BFE"/>
    <w:rsid w:val="00F671ED"/>
    <w:rsid w:val="00F67C8C"/>
    <w:rsid w:val="00F7093C"/>
    <w:rsid w:val="00F70F54"/>
    <w:rsid w:val="00F72586"/>
    <w:rsid w:val="00F72E44"/>
    <w:rsid w:val="00F73A95"/>
    <w:rsid w:val="00F73B8B"/>
    <w:rsid w:val="00F74B69"/>
    <w:rsid w:val="00F756CB"/>
    <w:rsid w:val="00F76230"/>
    <w:rsid w:val="00F76A82"/>
    <w:rsid w:val="00F77458"/>
    <w:rsid w:val="00F77F90"/>
    <w:rsid w:val="00F80BB1"/>
    <w:rsid w:val="00F80D03"/>
    <w:rsid w:val="00F817FA"/>
    <w:rsid w:val="00F81C73"/>
    <w:rsid w:val="00F825E6"/>
    <w:rsid w:val="00F831E1"/>
    <w:rsid w:val="00F83EE8"/>
    <w:rsid w:val="00F84AC7"/>
    <w:rsid w:val="00F84D67"/>
    <w:rsid w:val="00F84F40"/>
    <w:rsid w:val="00F851E5"/>
    <w:rsid w:val="00F85472"/>
    <w:rsid w:val="00F859FC"/>
    <w:rsid w:val="00F85F2C"/>
    <w:rsid w:val="00F869F7"/>
    <w:rsid w:val="00F913F5"/>
    <w:rsid w:val="00F91E96"/>
    <w:rsid w:val="00F9331F"/>
    <w:rsid w:val="00F94ABE"/>
    <w:rsid w:val="00F96B95"/>
    <w:rsid w:val="00F96E67"/>
    <w:rsid w:val="00F973D0"/>
    <w:rsid w:val="00FA1682"/>
    <w:rsid w:val="00FA1E74"/>
    <w:rsid w:val="00FA2136"/>
    <w:rsid w:val="00FA2E23"/>
    <w:rsid w:val="00FA3F6C"/>
    <w:rsid w:val="00FA5E1E"/>
    <w:rsid w:val="00FA66C9"/>
    <w:rsid w:val="00FA6793"/>
    <w:rsid w:val="00FA6E41"/>
    <w:rsid w:val="00FA7B09"/>
    <w:rsid w:val="00FA7CD7"/>
    <w:rsid w:val="00FA7D31"/>
    <w:rsid w:val="00FB002B"/>
    <w:rsid w:val="00FB0F14"/>
    <w:rsid w:val="00FB1654"/>
    <w:rsid w:val="00FB297F"/>
    <w:rsid w:val="00FB35C4"/>
    <w:rsid w:val="00FB3B14"/>
    <w:rsid w:val="00FB3FEE"/>
    <w:rsid w:val="00FB41CC"/>
    <w:rsid w:val="00FB44AE"/>
    <w:rsid w:val="00FB4A25"/>
    <w:rsid w:val="00FB4D29"/>
    <w:rsid w:val="00FB56F5"/>
    <w:rsid w:val="00FB5908"/>
    <w:rsid w:val="00FB5DDD"/>
    <w:rsid w:val="00FB679C"/>
    <w:rsid w:val="00FC021D"/>
    <w:rsid w:val="00FC0F6C"/>
    <w:rsid w:val="00FC372D"/>
    <w:rsid w:val="00FC4947"/>
    <w:rsid w:val="00FC4C3D"/>
    <w:rsid w:val="00FC4FE3"/>
    <w:rsid w:val="00FC52A3"/>
    <w:rsid w:val="00FC67B5"/>
    <w:rsid w:val="00FC6D69"/>
    <w:rsid w:val="00FC7371"/>
    <w:rsid w:val="00FC7D9D"/>
    <w:rsid w:val="00FC7F6C"/>
    <w:rsid w:val="00FD114D"/>
    <w:rsid w:val="00FD1F07"/>
    <w:rsid w:val="00FD1F5A"/>
    <w:rsid w:val="00FD3B69"/>
    <w:rsid w:val="00FD51E2"/>
    <w:rsid w:val="00FD558A"/>
    <w:rsid w:val="00FD686F"/>
    <w:rsid w:val="00FD7313"/>
    <w:rsid w:val="00FD7B8A"/>
    <w:rsid w:val="00FE177F"/>
    <w:rsid w:val="00FE180F"/>
    <w:rsid w:val="00FE1FB1"/>
    <w:rsid w:val="00FE2119"/>
    <w:rsid w:val="00FE33A1"/>
    <w:rsid w:val="00FE4049"/>
    <w:rsid w:val="00FE48A3"/>
    <w:rsid w:val="00FE5340"/>
    <w:rsid w:val="00FE57A8"/>
    <w:rsid w:val="00FE5A63"/>
    <w:rsid w:val="00FE6058"/>
    <w:rsid w:val="00FE71F0"/>
    <w:rsid w:val="00FF06E5"/>
    <w:rsid w:val="00FF07FC"/>
    <w:rsid w:val="00FF2477"/>
    <w:rsid w:val="00FF48DF"/>
    <w:rsid w:val="00FF4EEF"/>
    <w:rsid w:val="00FF5184"/>
    <w:rsid w:val="00FF5BB9"/>
    <w:rsid w:val="00FF6E4B"/>
    <w:rsid w:val="11492436"/>
    <w:rsid w:val="1ACD371D"/>
    <w:rsid w:val="2E026D81"/>
    <w:rsid w:val="302E3187"/>
    <w:rsid w:val="498C7179"/>
    <w:rsid w:val="4B5C5018"/>
    <w:rsid w:val="5BF1AE2D"/>
    <w:rsid w:val="7484B20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0BE4A0F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qFormat="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D3B"/>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242479"/>
    <w:pPr>
      <w:spacing w:after="240"/>
      <w:outlineLvl w:val="0"/>
    </w:pPr>
    <w:rPr>
      <w:rFonts w:ascii="Arial Bold" w:hAnsi="Arial Bold"/>
      <w:b/>
      <w:kern w:val="34"/>
      <w:sz w:val="36"/>
    </w:rPr>
  </w:style>
  <w:style w:type="paragraph" w:styleId="Heading2">
    <w:name w:val="heading 2"/>
    <w:basedOn w:val="HeadingBase"/>
    <w:next w:val="Normal"/>
    <w:link w:val="Heading2Char"/>
    <w:qFormat/>
    <w:rsid w:val="00242479"/>
    <w:pPr>
      <w:spacing w:before="240" w:after="240"/>
      <w:outlineLvl w:val="1"/>
    </w:pPr>
    <w:rPr>
      <w:rFonts w:ascii="Arial Bold" w:hAnsi="Arial Bold"/>
      <w:b/>
      <w:sz w:val="26"/>
    </w:rPr>
  </w:style>
  <w:style w:type="paragraph" w:styleId="Heading3">
    <w:name w:val="heading 3"/>
    <w:basedOn w:val="HeadingBase"/>
    <w:next w:val="Normal"/>
    <w:link w:val="Heading3Char"/>
    <w:qFormat/>
    <w:rsid w:val="00242479"/>
    <w:pPr>
      <w:spacing w:before="120" w:after="120"/>
      <w:outlineLvl w:val="2"/>
    </w:pPr>
    <w:rPr>
      <w:rFonts w:ascii="Arial Bold" w:hAnsi="Arial Bold"/>
      <w:b/>
      <w:sz w:val="22"/>
    </w:rPr>
  </w:style>
  <w:style w:type="paragraph" w:styleId="Heading4">
    <w:name w:val="heading 4"/>
    <w:basedOn w:val="HeadingBase"/>
    <w:next w:val="Normal"/>
    <w:link w:val="Heading4Char"/>
    <w:qFormat/>
    <w:rsid w:val="00242479"/>
    <w:pPr>
      <w:spacing w:after="120"/>
      <w:outlineLvl w:val="3"/>
    </w:pPr>
    <w:rPr>
      <w:rFonts w:ascii="Arial Bold" w:hAnsi="Arial Bold"/>
      <w:b/>
      <w:sz w:val="20"/>
    </w:rPr>
  </w:style>
  <w:style w:type="paragraph" w:styleId="Heading5">
    <w:name w:val="heading 5"/>
    <w:basedOn w:val="HeadingBase"/>
    <w:next w:val="Normal"/>
    <w:link w:val="Heading5Char"/>
    <w:qFormat/>
    <w:rsid w:val="00242479"/>
    <w:pPr>
      <w:spacing w:after="120"/>
      <w:outlineLvl w:val="4"/>
    </w:pPr>
    <w:rPr>
      <w:bCs/>
      <w:i/>
      <w:iCs/>
      <w:sz w:val="20"/>
      <w:szCs w:val="26"/>
    </w:rPr>
  </w:style>
  <w:style w:type="paragraph" w:styleId="Heading6">
    <w:name w:val="heading 6"/>
    <w:basedOn w:val="HeadingBase"/>
    <w:next w:val="Normal"/>
    <w:link w:val="Heading6Char"/>
    <w:rsid w:val="00242479"/>
    <w:pPr>
      <w:spacing w:after="120"/>
      <w:outlineLvl w:val="5"/>
    </w:pPr>
    <w:rPr>
      <w:bCs/>
      <w:sz w:val="20"/>
      <w:szCs w:val="22"/>
    </w:rPr>
  </w:style>
  <w:style w:type="paragraph" w:styleId="Heading7">
    <w:name w:val="heading 7"/>
    <w:basedOn w:val="HeadingBase"/>
    <w:next w:val="Normal"/>
    <w:link w:val="Heading7Char"/>
    <w:rsid w:val="00242479"/>
    <w:pPr>
      <w:spacing w:before="120"/>
      <w:outlineLvl w:val="6"/>
    </w:pPr>
    <w:rPr>
      <w:sz w:val="20"/>
      <w:szCs w:val="24"/>
    </w:rPr>
  </w:style>
  <w:style w:type="paragraph" w:styleId="Heading8">
    <w:name w:val="heading 8"/>
    <w:basedOn w:val="HeadingBase"/>
    <w:next w:val="Normal"/>
    <w:link w:val="Heading8Char"/>
    <w:rsid w:val="00242479"/>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242479"/>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A819BF"/>
    <w:pPr>
      <w:jc w:val="center"/>
    </w:pPr>
    <w:rPr>
      <w:rFonts w:ascii="Arial Bold" w:hAnsi="Arial Bold"/>
      <w:b/>
      <w:caps/>
      <w:sz w:val="22"/>
    </w:rPr>
  </w:style>
  <w:style w:type="paragraph" w:customStyle="1" w:styleId="FileProperties">
    <w:name w:val="File Properties"/>
    <w:basedOn w:val="Normal"/>
    <w:rsid w:val="008D3CA1"/>
    <w:pPr>
      <w:spacing w:before="0"/>
    </w:pPr>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0B38A8"/>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8E19CE"/>
    <w:rPr>
      <w:bCs/>
      <w:color w:val="002A54" w:themeColor="text2"/>
      <w:szCs w:val="52"/>
    </w:rPr>
  </w:style>
  <w:style w:type="paragraph" w:customStyle="1" w:styleId="BoxText">
    <w:name w:val="Box Text"/>
    <w:basedOn w:val="Normal"/>
    <w:link w:val="BoxTextChar"/>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242479"/>
    <w:pPr>
      <w:spacing w:before="120" w:after="120"/>
    </w:pPr>
    <w:rPr>
      <w:b/>
      <w:sz w:val="20"/>
    </w:rPr>
  </w:style>
  <w:style w:type="character" w:customStyle="1" w:styleId="Heading6Char">
    <w:name w:val="Heading 6 Char"/>
    <w:basedOn w:val="DefaultParagraphFont"/>
    <w:link w:val="Heading6"/>
    <w:rsid w:val="00242479"/>
    <w:rPr>
      <w:rFonts w:ascii="Arial" w:eastAsia="Times New Roman" w:hAnsi="Arial" w:cs="Times New Roman"/>
      <w:bCs/>
      <w:sz w:val="20"/>
      <w:lang w:eastAsia="en-AU"/>
    </w:rPr>
  </w:style>
  <w:style w:type="paragraph" w:customStyle="1" w:styleId="Bullet">
    <w:name w:val="Bullet"/>
    <w:basedOn w:val="Normal"/>
    <w:qFormat/>
    <w:rsid w:val="00160928"/>
    <w:pPr>
      <w:numPr>
        <w:numId w:val="7"/>
      </w:numPr>
      <w:spacing w:after="160"/>
      <w:ind w:left="284" w:hanging="284"/>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7913DD"/>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7913DD"/>
    <w:pPr>
      <w:keepNext w:val="0"/>
      <w:numPr>
        <w:numId w:val="18"/>
      </w:numPr>
      <w:spacing w:before="30"/>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5A6F5F"/>
    <w:rPr>
      <w:sz w:val="20"/>
    </w:rPr>
  </w:style>
  <w:style w:type="paragraph" w:customStyle="1" w:styleId="TableLine">
    <w:name w:val="Table Line"/>
    <w:basedOn w:val="Normal"/>
    <w:next w:val="Normal"/>
    <w:autoRedefine/>
    <w:rsid w:val="00EB6597"/>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EB6597"/>
    <w:pPr>
      <w:spacing w:after="60"/>
    </w:pPr>
    <w:rPr>
      <w:sz w:val="19"/>
    </w:rPr>
  </w:style>
  <w:style w:type="character" w:styleId="CommentReference">
    <w:name w:val="annotation reference"/>
    <w:basedOn w:val="DefaultParagraphFont"/>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1"/>
    <w:next w:val="Normal"/>
    <w:rsid w:val="00A04475"/>
    <w:pPr>
      <w:spacing w:after="720"/>
      <w:outlineLvl w:val="9"/>
    </w:pPr>
  </w:style>
  <w:style w:type="character" w:styleId="Strong">
    <w:name w:val="Strong"/>
    <w:basedOn w:val="DefaultParagraphFont"/>
    <w:uiPriority w:val="22"/>
    <w:qFormat/>
    <w:rsid w:val="001B7232"/>
    <w:rPr>
      <w:b/>
      <w:bCs/>
      <w:color w:val="auto"/>
    </w:rPr>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D47C6E"/>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D47C6E"/>
    <w:pPr>
      <w:pBdr>
        <w:top w:val="single" w:sz="4" w:space="10" w:color="002A54" w:themeColor="text2"/>
      </w:pBdr>
      <w:jc w:val="left"/>
    </w:pPr>
    <w:rPr>
      <w:sz w:val="18"/>
    </w:rPr>
  </w:style>
  <w:style w:type="paragraph" w:customStyle="1" w:styleId="FooterOdd">
    <w:name w:val="Footer Odd"/>
    <w:basedOn w:val="Footer"/>
    <w:qFormat/>
    <w:rsid w:val="00D47C6E"/>
    <w:pPr>
      <w:pBdr>
        <w:top w:val="single" w:sz="4" w:space="10" w:color="002A54" w:themeColor="text2"/>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3C1CA4"/>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3C1CA4"/>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9B2CFA"/>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242479"/>
  </w:style>
  <w:style w:type="paragraph" w:customStyle="1" w:styleId="HeaderOdd">
    <w:name w:val="Header Odd"/>
    <w:basedOn w:val="HeaderBase"/>
    <w:rsid w:val="00242479"/>
    <w:pPr>
      <w:jc w:val="right"/>
    </w:pPr>
  </w:style>
  <w:style w:type="character" w:customStyle="1" w:styleId="Heading1Char">
    <w:name w:val="Heading 1 Char"/>
    <w:basedOn w:val="DefaultParagraphFont"/>
    <w:link w:val="Heading1"/>
    <w:rsid w:val="00242479"/>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242479"/>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242479"/>
    <w:rPr>
      <w:rFonts w:ascii="Arial Bold" w:eastAsia="Times New Roman" w:hAnsi="Arial Bold" w:cs="Times New Roman"/>
      <w:b/>
      <w:szCs w:val="20"/>
      <w:lang w:eastAsia="en-AU"/>
    </w:rPr>
  </w:style>
  <w:style w:type="paragraph" w:customStyle="1" w:styleId="Heading3noTOC">
    <w:name w:val="Heading 3 no TOC"/>
    <w:basedOn w:val="Heading3"/>
    <w:rsid w:val="00242479"/>
    <w:pPr>
      <w:outlineLvl w:val="9"/>
    </w:pPr>
  </w:style>
  <w:style w:type="character" w:customStyle="1" w:styleId="Heading4Char">
    <w:name w:val="Heading 4 Char"/>
    <w:basedOn w:val="DefaultParagraphFont"/>
    <w:link w:val="Heading4"/>
    <w:rsid w:val="00242479"/>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242479"/>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242479"/>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242479"/>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5A6F5F"/>
    <w:rPr>
      <w:color w:val="auto"/>
      <w:u w:val="single"/>
    </w:r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242479"/>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E404C5"/>
    <w:pPr>
      <w:spacing w:before="0" w:after="0"/>
    </w:pPr>
  </w:style>
  <w:style w:type="paragraph" w:customStyle="1" w:styleId="Source">
    <w:name w:val="Source"/>
    <w:basedOn w:val="Normal"/>
    <w:rsid w:val="005642C7"/>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242479"/>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242479"/>
    <w:pPr>
      <w:jc w:val="center"/>
    </w:pPr>
  </w:style>
  <w:style w:type="paragraph" w:customStyle="1" w:styleId="TableColumnHeadingLeft">
    <w:name w:val="Table Column Heading Left"/>
    <w:basedOn w:val="TableColumnHeadingBase"/>
    <w:next w:val="Normal"/>
    <w:rsid w:val="00242479"/>
  </w:style>
  <w:style w:type="paragraph" w:customStyle="1" w:styleId="TableColumnHeadingRight">
    <w:name w:val="Table Column Heading Right"/>
    <w:basedOn w:val="TableColumnHeadingBase"/>
    <w:next w:val="Normal"/>
    <w:rsid w:val="00242479"/>
    <w:pPr>
      <w:jc w:val="right"/>
    </w:p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FA7D31"/>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link w:val="TableHeadingChar"/>
    <w:qFormat/>
    <w:rsid w:val="00242479"/>
    <w:pPr>
      <w:spacing w:before="120" w:after="20"/>
    </w:pPr>
    <w:rPr>
      <w:b/>
      <w:sz w:val="20"/>
    </w:rPr>
  </w:style>
  <w:style w:type="paragraph" w:customStyle="1" w:styleId="TableHeadingcontinued">
    <w:name w:val="Table Heading continued"/>
    <w:basedOn w:val="HeadingBase"/>
    <w:next w:val="TableGraphic"/>
    <w:rsid w:val="00242479"/>
    <w:pPr>
      <w:spacing w:before="120" w:after="20"/>
    </w:pPr>
    <w:rPr>
      <w:rFonts w:ascii="Arial Bold" w:hAnsi="Arial Bold"/>
      <w:b/>
      <w:sz w:val="20"/>
    </w:r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2"/>
    <w:rsid w:val="00BB52EC"/>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qFormat/>
    <w:rsid w:val="002D3D8C"/>
    <w:pPr>
      <w:keepNext w:val="0"/>
      <w:tabs>
        <w:tab w:val="left" w:pos="992"/>
        <w:tab w:val="right" w:leader="dot" w:pos="7700"/>
      </w:tabs>
      <w:spacing w:before="60" w:after="60"/>
      <w:ind w:right="851"/>
    </w:pPr>
    <w:rPr>
      <w:sz w:val="18"/>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242479"/>
    <w:pPr>
      <w:spacing w:before="60" w:after="60"/>
      <w:ind w:left="1134"/>
    </w:pPr>
    <w:rPr>
      <w:rFonts w:ascii="Arial Bold" w:hAnsi="Arial Bold"/>
      <w:b/>
      <w:caps/>
      <w:spacing w:val="-10"/>
      <w:sz w:val="28"/>
    </w:rPr>
  </w:style>
  <w:style w:type="paragraph" w:customStyle="1" w:styleId="TPHeading2">
    <w:name w:val="TP Heading 2"/>
    <w:basedOn w:val="HeadingBase"/>
    <w:semiHidden/>
    <w:rsid w:val="00242479"/>
    <w:pPr>
      <w:ind w:left="1134"/>
    </w:pPr>
    <w:rPr>
      <w:caps/>
      <w:spacing w:val="-10"/>
      <w:sz w:val="28"/>
    </w:rPr>
  </w:style>
  <w:style w:type="paragraph" w:customStyle="1" w:styleId="TPHeading3">
    <w:name w:val="TP Heading 3"/>
    <w:basedOn w:val="HeadingBase"/>
    <w:semiHidden/>
    <w:rsid w:val="00242479"/>
    <w:pPr>
      <w:ind w:left="1134"/>
    </w:pPr>
    <w:rPr>
      <w:caps/>
      <w:spacing w:val="-10"/>
    </w:rPr>
  </w:style>
  <w:style w:type="paragraph" w:customStyle="1" w:styleId="TPHeading3bold">
    <w:name w:val="TP Heading 3 bold"/>
    <w:basedOn w:val="TPHeading3"/>
    <w:semiHidden/>
    <w:rsid w:val="00242479"/>
    <w:rPr>
      <w:rFonts w:cs="Arial"/>
      <w:b/>
      <w:sz w:val="22"/>
      <w:szCs w:val="22"/>
    </w:rPr>
  </w:style>
  <w:style w:type="paragraph" w:customStyle="1" w:styleId="TPHEADING3boldspace">
    <w:name w:val="TP HEADING 3 bold space"/>
    <w:basedOn w:val="TPHeading3bold"/>
    <w:semiHidden/>
    <w:rsid w:val="00242479"/>
    <w:pPr>
      <w:spacing w:after="120"/>
    </w:pPr>
  </w:style>
  <w:style w:type="paragraph" w:customStyle="1" w:styleId="TPHEADING3space">
    <w:name w:val="TP HEADING 3 space"/>
    <w:basedOn w:val="TPHeading3"/>
    <w:semiHidden/>
    <w:rsid w:val="00242479"/>
    <w:pPr>
      <w:spacing w:before="120" w:after="120"/>
    </w:pPr>
    <w:rPr>
      <w:rFonts w:cs="Arial"/>
      <w:sz w:val="22"/>
      <w:szCs w:val="22"/>
    </w:rPr>
  </w:style>
  <w:style w:type="paragraph" w:customStyle="1" w:styleId="TPHeading4">
    <w:name w:val="TP Heading 4"/>
    <w:basedOn w:val="TPHeading3"/>
    <w:semiHidden/>
    <w:rsid w:val="00242479"/>
    <w:rPr>
      <w:sz w:val="20"/>
    </w:rPr>
  </w:style>
  <w:style w:type="paragraph" w:customStyle="1" w:styleId="TPHEADING4space">
    <w:name w:val="TP HEADING 4 space"/>
    <w:basedOn w:val="TPHEADING3space"/>
    <w:semiHidden/>
    <w:rsid w:val="00242479"/>
  </w:style>
  <w:style w:type="paragraph" w:customStyle="1" w:styleId="ChartLine">
    <w:name w:val="Chart Line"/>
    <w:basedOn w:val="Normal"/>
    <w:link w:val="ChartLineChar"/>
    <w:autoRedefine/>
    <w:qFormat/>
    <w:rsid w:val="00BC4E72"/>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E70282"/>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E404C5"/>
    <w:rPr>
      <w:sz w:val="16"/>
    </w:rPr>
  </w:style>
  <w:style w:type="paragraph" w:customStyle="1" w:styleId="Box-continuedon">
    <w:name w:val="Box - continued on"/>
    <w:basedOn w:val="Normal"/>
    <w:qFormat/>
    <w:rsid w:val="00E404C5"/>
    <w:pPr>
      <w:jc w:val="right"/>
    </w:pPr>
    <w:rPr>
      <w:rFonts w:asciiTheme="majorHAnsi" w:hAnsiTheme="majorHAnsi" w:cstheme="majorHAnsi"/>
      <w:i/>
      <w:iCs/>
      <w:sz w:val="18"/>
      <w:szCs w:val="24"/>
    </w:rPr>
  </w:style>
  <w:style w:type="paragraph" w:customStyle="1" w:styleId="BoxHeading2">
    <w:name w:val="Box Heading 2"/>
    <w:basedOn w:val="BoxHeading"/>
    <w:autoRedefine/>
    <w:rsid w:val="00242479"/>
    <w:pPr>
      <w:spacing w:after="0"/>
    </w:pPr>
    <w:rPr>
      <w:b w:val="0"/>
      <w:bCs/>
      <w:szCs w:val="14"/>
    </w:rPr>
  </w:style>
  <w:style w:type="character" w:customStyle="1" w:styleId="Heading9Char">
    <w:name w:val="Heading 9 Char"/>
    <w:basedOn w:val="DefaultParagraphFont"/>
    <w:link w:val="Heading9"/>
    <w:uiPriority w:val="9"/>
    <w:rsid w:val="00242479"/>
    <w:rPr>
      <w:rFonts w:ascii="Cambria" w:eastAsia="Times New Roman" w:hAnsi="Cambria" w:cs="Times New Roman"/>
      <w:lang w:eastAsia="en-AU"/>
    </w:rPr>
  </w:style>
  <w:style w:type="paragraph" w:customStyle="1" w:styleId="GhostLine">
    <w:name w:val="Ghost Line"/>
    <w:basedOn w:val="NoSpacing"/>
    <w:qFormat/>
    <w:rsid w:val="009D44CF"/>
    <w:pPr>
      <w:jc w:val="both"/>
    </w:pPr>
    <w:rPr>
      <w:rFonts w:ascii="Book Antiqua" w:hAnsi="Book Antiqua"/>
      <w:sz w:val="2"/>
    </w:rPr>
  </w:style>
  <w:style w:type="paragraph" w:styleId="NoSpacing">
    <w:name w:val="No Spacing"/>
    <w:uiPriority w:val="1"/>
    <w:qFormat/>
    <w:rsid w:val="009D44CF"/>
    <w:pPr>
      <w:spacing w:after="0" w:line="240" w:lineRule="auto"/>
    </w:pPr>
    <w:rPr>
      <w:rFonts w:eastAsia="Times New Roman" w:cs="Times New Roman"/>
      <w:sz w:val="19"/>
      <w:szCs w:val="20"/>
      <w:lang w:eastAsia="en-AU"/>
    </w:rPr>
  </w:style>
  <w:style w:type="character" w:customStyle="1" w:styleId="BoxTextChar">
    <w:name w:val="Box Text Char"/>
    <w:basedOn w:val="DefaultParagraphFont"/>
    <w:link w:val="BoxText"/>
    <w:rsid w:val="00D146F0"/>
    <w:rPr>
      <w:rFonts w:ascii="Book Antiqua" w:eastAsia="Times New Roman" w:hAnsi="Book Antiqua" w:cs="Times New Roman"/>
      <w:sz w:val="19"/>
      <w:szCs w:val="20"/>
      <w:lang w:eastAsia="en-AU"/>
    </w:rPr>
  </w:style>
  <w:style w:type="character" w:customStyle="1" w:styleId="A5">
    <w:name w:val="A5"/>
    <w:uiPriority w:val="99"/>
    <w:rsid w:val="00433F61"/>
    <w:rPr>
      <w:rFonts w:cs="Swiss 721 BT"/>
      <w:color w:val="000000"/>
      <w:sz w:val="20"/>
      <w:szCs w:val="20"/>
    </w:rPr>
  </w:style>
  <w:style w:type="paragraph" w:customStyle="1" w:styleId="CreativeCommonsNormal">
    <w:name w:val="Creative Commons Normal"/>
    <w:basedOn w:val="Normal"/>
    <w:qFormat/>
    <w:rsid w:val="00433F61"/>
    <w:pPr>
      <w:spacing w:before="120" w:after="120"/>
    </w:pPr>
  </w:style>
  <w:style w:type="paragraph" w:customStyle="1" w:styleId="CreativeCommonsH1">
    <w:name w:val="Creative Commons H1"/>
    <w:basedOn w:val="Normal"/>
    <w:qFormat/>
    <w:rsid w:val="00433F61"/>
    <w:pPr>
      <w:spacing w:before="180" w:after="120"/>
    </w:pPr>
    <w:rPr>
      <w:b/>
      <w:bCs/>
    </w:rPr>
  </w:style>
  <w:style w:type="paragraph" w:customStyle="1" w:styleId="CreativeCommonsIndented">
    <w:name w:val="Creative Commons Indented"/>
    <w:basedOn w:val="CreativeCommonsNormal"/>
    <w:qFormat/>
    <w:rsid w:val="00433F61"/>
    <w:pPr>
      <w:ind w:left="567"/>
    </w:pPr>
  </w:style>
  <w:style w:type="paragraph" w:customStyle="1" w:styleId="OutlineNumbered1">
    <w:name w:val="Outline Numbered 1"/>
    <w:basedOn w:val="Normal"/>
    <w:link w:val="OutlineNumbered1Char"/>
    <w:qFormat/>
    <w:rsid w:val="003A57C9"/>
    <w:pPr>
      <w:numPr>
        <w:numId w:val="22"/>
      </w:numPr>
    </w:pPr>
  </w:style>
  <w:style w:type="character" w:customStyle="1" w:styleId="OutlineNumbered1Char">
    <w:name w:val="Outline Numbered 1 Char"/>
    <w:basedOn w:val="DefaultParagraphFont"/>
    <w:link w:val="OutlineNumbered1"/>
    <w:rsid w:val="003A57C9"/>
    <w:rPr>
      <w:rFonts w:ascii="Book Antiqua" w:eastAsia="Times New Roman" w:hAnsi="Book Antiqua" w:cs="Times New Roman"/>
      <w:sz w:val="19"/>
      <w:szCs w:val="20"/>
      <w:lang w:eastAsia="en-AU"/>
    </w:rPr>
  </w:style>
  <w:style w:type="paragraph" w:customStyle="1" w:styleId="OutlineNumbered2">
    <w:name w:val="Outline Numbered 2"/>
    <w:basedOn w:val="Normal"/>
    <w:qFormat/>
    <w:rsid w:val="008D3F8A"/>
    <w:pPr>
      <w:numPr>
        <w:ilvl w:val="1"/>
        <w:numId w:val="21"/>
      </w:numPr>
    </w:pPr>
  </w:style>
  <w:style w:type="paragraph" w:customStyle="1" w:styleId="OutlineNumbered3">
    <w:name w:val="Outline Numbered 3"/>
    <w:basedOn w:val="Normal"/>
    <w:qFormat/>
    <w:rsid w:val="008D3F8A"/>
    <w:pPr>
      <w:numPr>
        <w:ilvl w:val="2"/>
        <w:numId w:val="21"/>
      </w:numPr>
    </w:pPr>
  </w:style>
  <w:style w:type="character" w:styleId="Emphasis">
    <w:name w:val="Emphasis"/>
    <w:basedOn w:val="DefaultParagraphFont"/>
    <w:uiPriority w:val="20"/>
    <w:qFormat/>
    <w:rsid w:val="003950E4"/>
    <w:rPr>
      <w:i/>
      <w:iCs/>
    </w:rPr>
  </w:style>
  <w:style w:type="character" w:customStyle="1" w:styleId="TableHeadingChar">
    <w:name w:val="Table Heading Char"/>
    <w:link w:val="TableHeading"/>
    <w:rsid w:val="006C4D3B"/>
    <w:rPr>
      <w:rFonts w:ascii="Arial" w:eastAsia="Times New Roman" w:hAnsi="Arial" w:cs="Times New Roman"/>
      <w:b/>
      <w:sz w:val="20"/>
      <w:szCs w:val="20"/>
      <w:lang w:eastAsia="en-AU"/>
    </w:rPr>
  </w:style>
  <w:style w:type="character" w:customStyle="1" w:styleId="ChartLineChar">
    <w:name w:val="Chart Line Char"/>
    <w:basedOn w:val="DefaultParagraphFont"/>
    <w:link w:val="ChartLine"/>
    <w:rsid w:val="006C4D3B"/>
    <w:rPr>
      <w:rFonts w:ascii="Book Antiqua" w:eastAsia="Times New Roman" w:hAnsi="Book Antiqua" w:cs="Times New Roman"/>
      <w:noProof/>
      <w:sz w:val="4"/>
      <w:szCs w:val="4"/>
      <w:lang w:eastAsia="en-AU"/>
    </w:rPr>
  </w:style>
  <w:style w:type="paragraph" w:styleId="NormalWeb">
    <w:name w:val="Normal (Web)"/>
    <w:basedOn w:val="Normal"/>
    <w:uiPriority w:val="99"/>
    <w:semiHidden/>
    <w:unhideWhenUsed/>
    <w:rsid w:val="005344FD"/>
    <w:rPr>
      <w:rFonts w:ascii="Times New Roman" w:hAnsi="Times New Roman"/>
      <w:sz w:val="24"/>
      <w:szCs w:val="24"/>
    </w:rPr>
  </w:style>
  <w:style w:type="paragraph" w:styleId="Revision">
    <w:name w:val="Revision"/>
    <w:hidden/>
    <w:uiPriority w:val="99"/>
    <w:semiHidden/>
    <w:rsid w:val="00060EC3"/>
    <w:pPr>
      <w:spacing w:after="0" w:line="240" w:lineRule="auto"/>
    </w:pPr>
    <w:rPr>
      <w:rFonts w:ascii="Book Antiqua" w:eastAsia="Times New Roman" w:hAnsi="Book Antiqua" w:cs="Times New Roman"/>
      <w:sz w:val="19"/>
      <w:szCs w:val="20"/>
      <w:lang w:eastAsia="en-AU"/>
    </w:rPr>
  </w:style>
  <w:style w:type="paragraph" w:styleId="ListParagraph">
    <w:name w:val="List Paragraph"/>
    <w:basedOn w:val="Normal"/>
    <w:uiPriority w:val="34"/>
    <w:qFormat/>
    <w:rsid w:val="004637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64945">
      <w:bodyDiv w:val="1"/>
      <w:marLeft w:val="0"/>
      <w:marRight w:val="0"/>
      <w:marTop w:val="0"/>
      <w:marBottom w:val="0"/>
      <w:divBdr>
        <w:top w:val="none" w:sz="0" w:space="0" w:color="auto"/>
        <w:left w:val="none" w:sz="0" w:space="0" w:color="auto"/>
        <w:bottom w:val="none" w:sz="0" w:space="0" w:color="auto"/>
        <w:right w:val="none" w:sz="0" w:space="0" w:color="auto"/>
      </w:divBdr>
    </w:div>
    <w:div w:id="569078538">
      <w:bodyDiv w:val="1"/>
      <w:marLeft w:val="0"/>
      <w:marRight w:val="0"/>
      <w:marTop w:val="0"/>
      <w:marBottom w:val="0"/>
      <w:divBdr>
        <w:top w:val="none" w:sz="0" w:space="0" w:color="auto"/>
        <w:left w:val="none" w:sz="0" w:space="0" w:color="auto"/>
        <w:bottom w:val="none" w:sz="0" w:space="0" w:color="auto"/>
        <w:right w:val="none" w:sz="0" w:space="0" w:color="auto"/>
      </w:divBdr>
    </w:div>
    <w:div w:id="724137778">
      <w:bodyDiv w:val="1"/>
      <w:marLeft w:val="0"/>
      <w:marRight w:val="0"/>
      <w:marTop w:val="0"/>
      <w:marBottom w:val="0"/>
      <w:divBdr>
        <w:top w:val="none" w:sz="0" w:space="0" w:color="auto"/>
        <w:left w:val="none" w:sz="0" w:space="0" w:color="auto"/>
        <w:bottom w:val="none" w:sz="0" w:space="0" w:color="auto"/>
        <w:right w:val="none" w:sz="0" w:space="0" w:color="auto"/>
      </w:divBdr>
    </w:div>
    <w:div w:id="789054514">
      <w:bodyDiv w:val="1"/>
      <w:marLeft w:val="0"/>
      <w:marRight w:val="0"/>
      <w:marTop w:val="0"/>
      <w:marBottom w:val="0"/>
      <w:divBdr>
        <w:top w:val="none" w:sz="0" w:space="0" w:color="auto"/>
        <w:left w:val="none" w:sz="0" w:space="0" w:color="auto"/>
        <w:bottom w:val="none" w:sz="0" w:space="0" w:color="auto"/>
        <w:right w:val="none" w:sz="0" w:space="0" w:color="auto"/>
      </w:divBdr>
    </w:div>
    <w:div w:id="1166629164">
      <w:bodyDiv w:val="1"/>
      <w:marLeft w:val="0"/>
      <w:marRight w:val="0"/>
      <w:marTop w:val="0"/>
      <w:marBottom w:val="0"/>
      <w:divBdr>
        <w:top w:val="none" w:sz="0" w:space="0" w:color="auto"/>
        <w:left w:val="none" w:sz="0" w:space="0" w:color="auto"/>
        <w:bottom w:val="none" w:sz="0" w:space="0" w:color="auto"/>
        <w:right w:val="none" w:sz="0" w:space="0" w:color="auto"/>
      </w:divBdr>
    </w:div>
    <w:div w:id="1386022572">
      <w:bodyDiv w:val="1"/>
      <w:marLeft w:val="0"/>
      <w:marRight w:val="0"/>
      <w:marTop w:val="0"/>
      <w:marBottom w:val="0"/>
      <w:divBdr>
        <w:top w:val="none" w:sz="0" w:space="0" w:color="auto"/>
        <w:left w:val="none" w:sz="0" w:space="0" w:color="auto"/>
        <w:bottom w:val="none" w:sz="0" w:space="0" w:color="auto"/>
        <w:right w:val="none" w:sz="0" w:space="0" w:color="auto"/>
      </w:divBdr>
    </w:div>
    <w:div w:id="1558974312">
      <w:bodyDiv w:val="1"/>
      <w:marLeft w:val="0"/>
      <w:marRight w:val="0"/>
      <w:marTop w:val="0"/>
      <w:marBottom w:val="0"/>
      <w:divBdr>
        <w:top w:val="none" w:sz="0" w:space="0" w:color="auto"/>
        <w:left w:val="none" w:sz="0" w:space="0" w:color="auto"/>
        <w:bottom w:val="none" w:sz="0" w:space="0" w:color="auto"/>
        <w:right w:val="none" w:sz="0" w:space="0" w:color="auto"/>
      </w:divBdr>
    </w:div>
    <w:div w:id="1629775370">
      <w:bodyDiv w:val="1"/>
      <w:marLeft w:val="0"/>
      <w:marRight w:val="0"/>
      <w:marTop w:val="0"/>
      <w:marBottom w:val="0"/>
      <w:divBdr>
        <w:top w:val="none" w:sz="0" w:space="0" w:color="auto"/>
        <w:left w:val="none" w:sz="0" w:space="0" w:color="auto"/>
        <w:bottom w:val="none" w:sz="0" w:space="0" w:color="auto"/>
        <w:right w:val="none" w:sz="0" w:space="0" w:color="auto"/>
      </w:divBdr>
    </w:div>
    <w:div w:id="1632633143">
      <w:bodyDiv w:val="1"/>
      <w:marLeft w:val="0"/>
      <w:marRight w:val="0"/>
      <w:marTop w:val="0"/>
      <w:marBottom w:val="0"/>
      <w:divBdr>
        <w:top w:val="none" w:sz="0" w:space="0" w:color="auto"/>
        <w:left w:val="none" w:sz="0" w:space="0" w:color="auto"/>
        <w:bottom w:val="none" w:sz="0" w:space="0" w:color="auto"/>
        <w:right w:val="none" w:sz="0" w:space="0" w:color="auto"/>
      </w:divBdr>
    </w:div>
    <w:div w:id="1851993567">
      <w:bodyDiv w:val="1"/>
      <w:marLeft w:val="0"/>
      <w:marRight w:val="0"/>
      <w:marTop w:val="0"/>
      <w:marBottom w:val="0"/>
      <w:divBdr>
        <w:top w:val="none" w:sz="0" w:space="0" w:color="auto"/>
        <w:left w:val="none" w:sz="0" w:space="0" w:color="auto"/>
        <w:bottom w:val="none" w:sz="0" w:space="0" w:color="auto"/>
        <w:right w:val="none" w:sz="0" w:space="0" w:color="auto"/>
      </w:divBdr>
    </w:div>
    <w:div w:id="1858688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4730</Words>
  <Characters>26964</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Budget Paper No. 1</vt:lpstr>
    </vt:vector>
  </TitlesOfParts>
  <Company/>
  <LinksUpToDate>false</LinksUpToDate>
  <CharactersWithSpaces>31631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1</dc:title>
  <dc:subject>Statement 9: Australian Government Budget Financial Statements</dc:subject>
  <dc:creator>Australian Government</dc:creator>
  <cp:keywords/>
  <dc:description/>
  <cp:lastModifiedBy/>
  <cp:revision>1</cp:revision>
  <dcterms:created xsi:type="dcterms:W3CDTF">2025-03-24T01:56:00Z</dcterms:created>
  <dcterms:modified xsi:type="dcterms:W3CDTF">2025-03-24T01:57:00Z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2025-03-24T01:56:56Z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7422dd5c-fbda-4754-90aa-130cc165691e</vt:lpwstr>
  </property>
  <property fmtid="{D5CDD505-2E9C-101B-9397-08002B2CF9AE}" pid="8" name="MSIP_Label_4f932d64-9ab1-4d9b-81d2-a3a8b82dd47d_ContentBits">
    <vt:lpwstr>0</vt:lpwstr>
  </property>
</Properties>
</file>